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1D49" w14:textId="77777777" w:rsidR="007D18C2" w:rsidRPr="00782A96" w:rsidRDefault="007D18C2" w:rsidP="005C4B96">
      <w:pPr>
        <w:spacing w:after="0" w:line="240" w:lineRule="auto"/>
        <w:jc w:val="center"/>
        <w:rPr>
          <w:rFonts w:cs="Times New Roman"/>
          <w:b/>
          <w:szCs w:val="28"/>
        </w:rPr>
      </w:pPr>
      <w:r w:rsidRPr="00782A96">
        <w:rPr>
          <w:rFonts w:cs="Times New Roman"/>
          <w:b/>
          <w:szCs w:val="28"/>
        </w:rPr>
        <w:t>КРАТКИЙ ЭКОНОМИЧЕСКИЙ ОБЗОР</w:t>
      </w:r>
    </w:p>
    <w:p w14:paraId="3D312B7F" w14:textId="77777777" w:rsidR="007D18C2" w:rsidRPr="00782A96" w:rsidRDefault="007D18C2" w:rsidP="005C4B96">
      <w:pPr>
        <w:spacing w:after="0" w:line="240" w:lineRule="auto"/>
        <w:jc w:val="center"/>
        <w:rPr>
          <w:rFonts w:cs="Times New Roman"/>
          <w:b/>
          <w:szCs w:val="28"/>
        </w:rPr>
      </w:pPr>
    </w:p>
    <w:p w14:paraId="225E86E6" w14:textId="77777777" w:rsidR="007D18C2" w:rsidRPr="00782A96" w:rsidRDefault="007D18C2" w:rsidP="005C4B96">
      <w:pPr>
        <w:spacing w:after="0" w:line="240" w:lineRule="auto"/>
        <w:jc w:val="center"/>
        <w:rPr>
          <w:rFonts w:cs="Times New Roman"/>
          <w:b/>
          <w:szCs w:val="28"/>
        </w:rPr>
      </w:pPr>
      <w:r w:rsidRPr="00782A96">
        <w:rPr>
          <w:rFonts w:cs="Times New Roman"/>
          <w:b/>
          <w:szCs w:val="28"/>
        </w:rPr>
        <w:t xml:space="preserve">и </w:t>
      </w:r>
      <w:r w:rsidR="005C4B96" w:rsidRPr="00782A96">
        <w:rPr>
          <w:rFonts w:cs="Times New Roman"/>
          <w:b/>
          <w:szCs w:val="28"/>
        </w:rPr>
        <w:t xml:space="preserve">деятельность </w:t>
      </w:r>
      <w:r w:rsidRPr="00782A96">
        <w:rPr>
          <w:rFonts w:cs="Times New Roman"/>
          <w:b/>
          <w:szCs w:val="28"/>
        </w:rPr>
        <w:t xml:space="preserve">банковской системы </w:t>
      </w:r>
      <w:r w:rsidR="0039782E" w:rsidRPr="00782A96">
        <w:rPr>
          <w:rFonts w:cs="Times New Roman"/>
          <w:b/>
          <w:szCs w:val="28"/>
        </w:rPr>
        <w:t xml:space="preserve">за </w:t>
      </w:r>
      <w:r w:rsidRPr="00782A96">
        <w:rPr>
          <w:rFonts w:cs="Times New Roman"/>
          <w:b/>
          <w:szCs w:val="28"/>
        </w:rPr>
        <w:t>перво</w:t>
      </w:r>
      <w:r w:rsidR="0039782E" w:rsidRPr="00782A96">
        <w:rPr>
          <w:rFonts w:cs="Times New Roman"/>
          <w:b/>
          <w:szCs w:val="28"/>
        </w:rPr>
        <w:t>е</w:t>
      </w:r>
      <w:r w:rsidRPr="00782A96">
        <w:rPr>
          <w:rFonts w:cs="Times New Roman"/>
          <w:b/>
          <w:szCs w:val="28"/>
        </w:rPr>
        <w:t xml:space="preserve"> полугоди</w:t>
      </w:r>
      <w:r w:rsidR="0039782E" w:rsidRPr="00782A96">
        <w:rPr>
          <w:rFonts w:cs="Times New Roman"/>
          <w:b/>
          <w:szCs w:val="28"/>
        </w:rPr>
        <w:t>е</w:t>
      </w:r>
      <w:r w:rsidRPr="00782A96">
        <w:rPr>
          <w:rFonts w:cs="Times New Roman"/>
          <w:b/>
          <w:szCs w:val="28"/>
        </w:rPr>
        <w:t xml:space="preserve"> 2025 года</w:t>
      </w:r>
    </w:p>
    <w:p w14:paraId="1F69DE47" w14:textId="77777777" w:rsidR="0039782E" w:rsidRPr="00782A96" w:rsidRDefault="0039782E" w:rsidP="0039782E">
      <w:pPr>
        <w:ind w:firstLine="360"/>
        <w:jc w:val="center"/>
        <w:rPr>
          <w:b/>
          <w:szCs w:val="28"/>
          <w:lang w:val="tg-Cyrl-TJ"/>
        </w:rPr>
      </w:pPr>
    </w:p>
    <w:p w14:paraId="3B811087" w14:textId="77777777" w:rsidR="0039782E" w:rsidRPr="00782A96" w:rsidRDefault="0039782E" w:rsidP="0039782E">
      <w:pPr>
        <w:ind w:firstLine="360"/>
        <w:jc w:val="both"/>
        <w:rPr>
          <w:bCs/>
          <w:szCs w:val="28"/>
          <w:lang w:val="tt-RU"/>
        </w:rPr>
      </w:pPr>
      <w:r w:rsidRPr="00782A96">
        <w:rPr>
          <w:bCs/>
          <w:szCs w:val="28"/>
          <w:lang w:val="tt-RU"/>
        </w:rPr>
        <w:t xml:space="preserve">В </w:t>
      </w:r>
      <w:r w:rsidR="00782A96">
        <w:rPr>
          <w:bCs/>
          <w:szCs w:val="28"/>
          <w:lang w:val="tt-RU"/>
        </w:rPr>
        <w:t>первом полугодии 2025</w:t>
      </w:r>
      <w:r w:rsidRPr="00782A96">
        <w:rPr>
          <w:bCs/>
          <w:szCs w:val="28"/>
          <w:lang w:val="tt-RU"/>
        </w:rPr>
        <w:t xml:space="preserve"> года Национальный банк Таджикистана осуществил свою деятельность в соответствии с законодательством сферы и задачами, </w:t>
      </w:r>
      <w:r w:rsidR="00D9503D" w:rsidRPr="00782A96">
        <w:rPr>
          <w:bCs/>
          <w:szCs w:val="28"/>
          <w:lang w:val="tt-RU"/>
        </w:rPr>
        <w:t xml:space="preserve">вытекающими из </w:t>
      </w:r>
      <w:r w:rsidRPr="00782A96">
        <w:rPr>
          <w:bCs/>
          <w:szCs w:val="28"/>
          <w:lang w:val="tt-RU"/>
        </w:rPr>
        <w:t>Послани</w:t>
      </w:r>
      <w:r w:rsidR="00D9503D" w:rsidRPr="00782A96">
        <w:rPr>
          <w:bCs/>
          <w:szCs w:val="28"/>
          <w:lang w:val="tt-RU"/>
        </w:rPr>
        <w:t>я</w:t>
      </w:r>
      <w:r w:rsidRPr="00782A96">
        <w:rPr>
          <w:bCs/>
          <w:szCs w:val="28"/>
          <w:lang w:val="tt-RU"/>
        </w:rPr>
        <w:t xml:space="preserve"> Основателя мира и национального единства – Лидера нации, Президента Республики Таджикистан, уважаемого Эмомали Рахмона “Об основных направленияях внутренней и внешней политики Республики Таджикистан”, а также </w:t>
      </w:r>
      <w:r w:rsidR="00D9503D" w:rsidRPr="00782A96">
        <w:rPr>
          <w:bCs/>
          <w:szCs w:val="28"/>
          <w:lang w:val="tt-RU"/>
        </w:rPr>
        <w:t xml:space="preserve">на основе </w:t>
      </w:r>
      <w:r w:rsidR="00156E3D" w:rsidRPr="00782A96">
        <w:rPr>
          <w:bCs/>
          <w:szCs w:val="28"/>
        </w:rPr>
        <w:t>«</w:t>
      </w:r>
      <w:r w:rsidR="00156E3D" w:rsidRPr="00782A96">
        <w:rPr>
          <w:rFonts w:cs="Times New Roman"/>
          <w:szCs w:val="28"/>
        </w:rPr>
        <w:t>Основных направлений денежно-кредитной политики Республики Таджикистан на 2025 год и среднесрочный период»</w:t>
      </w:r>
      <w:r w:rsidR="00D9503D" w:rsidRPr="00782A96">
        <w:rPr>
          <w:bCs/>
          <w:szCs w:val="28"/>
          <w:lang w:val="tt-RU"/>
        </w:rPr>
        <w:t>,</w:t>
      </w:r>
      <w:r w:rsidR="00D9503D" w:rsidRPr="00782A96">
        <w:rPr>
          <w:rFonts w:cs="Times New Roman"/>
          <w:szCs w:val="28"/>
        </w:rPr>
        <w:t xml:space="preserve"> обеспечивая стабильное финансово-экономическое развитие</w:t>
      </w:r>
      <w:r w:rsidRPr="00782A96">
        <w:rPr>
          <w:bCs/>
          <w:szCs w:val="28"/>
          <w:lang w:val="tt-RU"/>
        </w:rPr>
        <w:t>.</w:t>
      </w:r>
    </w:p>
    <w:p w14:paraId="6163D080" w14:textId="77777777" w:rsidR="0039782E" w:rsidRPr="00782A96" w:rsidRDefault="0039782E" w:rsidP="005C4B96">
      <w:pPr>
        <w:spacing w:after="0" w:line="240" w:lineRule="auto"/>
        <w:jc w:val="center"/>
        <w:rPr>
          <w:rFonts w:cs="Times New Roman"/>
          <w:b/>
          <w:szCs w:val="28"/>
          <w:lang w:val="tt-RU"/>
        </w:rPr>
      </w:pPr>
    </w:p>
    <w:p w14:paraId="4D42A6F3" w14:textId="77777777" w:rsidR="007D18C2" w:rsidRPr="00782A96" w:rsidRDefault="00C339C0" w:rsidP="001660CD">
      <w:pPr>
        <w:jc w:val="center"/>
        <w:rPr>
          <w:rFonts w:cs="Times New Roman"/>
          <w:b/>
          <w:szCs w:val="28"/>
        </w:rPr>
      </w:pPr>
      <w:r w:rsidRPr="00782A96">
        <w:rPr>
          <w:rFonts w:cs="Times New Roman"/>
          <w:b/>
          <w:szCs w:val="28"/>
        </w:rPr>
        <w:t>МОНЕТАРНАЯ</w:t>
      </w:r>
      <w:r w:rsidR="007D18C2" w:rsidRPr="00782A96">
        <w:rPr>
          <w:rFonts w:cs="Times New Roman"/>
          <w:b/>
          <w:szCs w:val="28"/>
        </w:rPr>
        <w:t xml:space="preserve"> ПОЛИТИКА</w:t>
      </w:r>
    </w:p>
    <w:p w14:paraId="110B9A10" w14:textId="77777777" w:rsidR="007D18C2" w:rsidRPr="00782A96" w:rsidRDefault="007D18C2" w:rsidP="001660CD">
      <w:pPr>
        <w:jc w:val="center"/>
        <w:rPr>
          <w:rFonts w:cs="Times New Roman"/>
          <w:b/>
          <w:szCs w:val="28"/>
        </w:rPr>
      </w:pPr>
      <w:r w:rsidRPr="00782A96">
        <w:rPr>
          <w:rFonts w:cs="Times New Roman"/>
          <w:b/>
          <w:szCs w:val="28"/>
        </w:rPr>
        <w:t xml:space="preserve">Уровень инфляции и </w:t>
      </w:r>
      <w:r w:rsidR="001660CD" w:rsidRPr="00782A96">
        <w:rPr>
          <w:rFonts w:cs="Times New Roman"/>
          <w:b/>
          <w:szCs w:val="28"/>
        </w:rPr>
        <w:t>монетарные инструменты</w:t>
      </w:r>
    </w:p>
    <w:p w14:paraId="05220CDE" w14:textId="77777777" w:rsidR="007D18C2" w:rsidRPr="00782A96" w:rsidRDefault="007D18C2" w:rsidP="005C4B96">
      <w:pPr>
        <w:jc w:val="both"/>
        <w:rPr>
          <w:rFonts w:cs="Times New Roman"/>
          <w:szCs w:val="28"/>
        </w:rPr>
      </w:pPr>
    </w:p>
    <w:p w14:paraId="065444D8" w14:textId="77777777" w:rsidR="00A4376F" w:rsidRPr="00782A96" w:rsidRDefault="00A4376F" w:rsidP="00A4376F">
      <w:pPr>
        <w:ind w:firstLine="360"/>
        <w:jc w:val="both"/>
        <w:rPr>
          <w:szCs w:val="28"/>
        </w:rPr>
      </w:pPr>
      <w:r w:rsidRPr="00782A96">
        <w:rPr>
          <w:szCs w:val="28"/>
        </w:rPr>
        <w:t>Уровень инфляции за первое полугодие 2025 года составил 1,8 процента, что ниже на 0,1 процентного пункта (</w:t>
      </w:r>
      <w:proofErr w:type="spellStart"/>
      <w:r w:rsidRPr="00782A96">
        <w:rPr>
          <w:szCs w:val="28"/>
        </w:rPr>
        <w:t>п.п</w:t>
      </w:r>
      <w:proofErr w:type="spellEnd"/>
      <w:r w:rsidRPr="00782A96">
        <w:rPr>
          <w:szCs w:val="28"/>
        </w:rPr>
        <w:t xml:space="preserve">.) по сравнению с аналогичным периодом прошлого года. Данная тенденция </w:t>
      </w:r>
      <w:r w:rsidRPr="00782A96">
        <w:rPr>
          <w:color w:val="000000" w:themeColor="text1"/>
          <w:szCs w:val="28"/>
        </w:rPr>
        <w:t>обусловлена в основном ростом цен на продовольственные продукты</w:t>
      </w:r>
      <w:r w:rsidRPr="00782A96">
        <w:rPr>
          <w:color w:val="000000" w:themeColor="text1"/>
          <w:szCs w:val="28"/>
          <w:lang w:val="tg-Cyrl-TJ"/>
        </w:rPr>
        <w:t xml:space="preserve"> </w:t>
      </w:r>
      <w:r w:rsidRPr="00782A96">
        <w:rPr>
          <w:color w:val="000000" w:themeColor="text1"/>
          <w:szCs w:val="28"/>
        </w:rPr>
        <w:t>2,9 процента</w:t>
      </w:r>
      <w:r w:rsidRPr="00782A96">
        <w:rPr>
          <w:color w:val="000000" w:themeColor="text1"/>
          <w:szCs w:val="28"/>
          <w:lang w:val="tg-Cyrl-TJ"/>
        </w:rPr>
        <w:t xml:space="preserve"> и </w:t>
      </w:r>
      <w:r w:rsidRPr="00782A96">
        <w:rPr>
          <w:color w:val="000000" w:themeColor="text1"/>
          <w:szCs w:val="28"/>
        </w:rPr>
        <w:t xml:space="preserve">стоимости </w:t>
      </w:r>
      <w:r w:rsidR="007D2139" w:rsidRPr="00782A96">
        <w:rPr>
          <w:color w:val="000000" w:themeColor="text1"/>
          <w:szCs w:val="28"/>
        </w:rPr>
        <w:t>денежных услуг на 3</w:t>
      </w:r>
      <w:r w:rsidRPr="00782A96">
        <w:rPr>
          <w:color w:val="000000" w:themeColor="text1"/>
          <w:szCs w:val="28"/>
        </w:rPr>
        <w:t>,</w:t>
      </w:r>
      <w:r w:rsidR="007D2139" w:rsidRPr="00782A96">
        <w:rPr>
          <w:color w:val="000000" w:themeColor="text1"/>
          <w:szCs w:val="28"/>
        </w:rPr>
        <w:t>4</w:t>
      </w:r>
      <w:r w:rsidRPr="00782A96">
        <w:rPr>
          <w:color w:val="000000" w:themeColor="text1"/>
          <w:szCs w:val="28"/>
        </w:rPr>
        <w:t xml:space="preserve"> процента</w:t>
      </w:r>
      <w:r w:rsidRPr="00782A96">
        <w:rPr>
          <w:szCs w:val="28"/>
        </w:rPr>
        <w:t>.</w:t>
      </w:r>
    </w:p>
    <w:p w14:paraId="69E1BBAD" w14:textId="77777777" w:rsidR="00A4376F" w:rsidRPr="00782A96" w:rsidRDefault="00320BA1" w:rsidP="001660CD">
      <w:pPr>
        <w:ind w:firstLine="708"/>
        <w:jc w:val="both"/>
        <w:rPr>
          <w:szCs w:val="28"/>
        </w:rPr>
      </w:pPr>
      <w:r w:rsidRPr="00782A96">
        <w:rPr>
          <w:szCs w:val="28"/>
        </w:rPr>
        <w:t>Годовая инфляция за июнь месяц текущего года сложилась ниже уровня целевого показателя (</w:t>
      </w:r>
      <w:proofErr w:type="spellStart"/>
      <w:r w:rsidRPr="00782A96">
        <w:rPr>
          <w:szCs w:val="28"/>
        </w:rPr>
        <w:t>таргета</w:t>
      </w:r>
      <w:proofErr w:type="spellEnd"/>
      <w:r w:rsidRPr="00782A96">
        <w:rPr>
          <w:szCs w:val="28"/>
        </w:rPr>
        <w:t>) (</w:t>
      </w:r>
      <w:r w:rsidR="00CF53AC" w:rsidRPr="00782A96">
        <w:rPr>
          <w:rFonts w:cs="Times New Roman"/>
          <w:szCs w:val="28"/>
        </w:rPr>
        <w:t xml:space="preserve">5% ± 2 </w:t>
      </w:r>
      <w:proofErr w:type="spellStart"/>
      <w:r w:rsidR="00CF53AC" w:rsidRPr="00782A96">
        <w:rPr>
          <w:rFonts w:cs="Times New Roman"/>
          <w:szCs w:val="28"/>
        </w:rPr>
        <w:t>п.п</w:t>
      </w:r>
      <w:proofErr w:type="spellEnd"/>
      <w:r w:rsidR="00CF53AC" w:rsidRPr="00782A96">
        <w:rPr>
          <w:rFonts w:cs="Times New Roman"/>
          <w:szCs w:val="28"/>
        </w:rPr>
        <w:t>.</w:t>
      </w:r>
      <w:r w:rsidRPr="00782A96">
        <w:rPr>
          <w:szCs w:val="28"/>
        </w:rPr>
        <w:t>) и составила 3,</w:t>
      </w:r>
      <w:r w:rsidR="00CF53AC" w:rsidRPr="00782A96">
        <w:rPr>
          <w:szCs w:val="28"/>
        </w:rPr>
        <w:t>6</w:t>
      </w:r>
      <w:r w:rsidRPr="00782A96">
        <w:rPr>
          <w:szCs w:val="28"/>
        </w:rPr>
        <w:t xml:space="preserve"> процента, увеличившись на </w:t>
      </w:r>
      <w:r w:rsidR="00CF53AC" w:rsidRPr="00782A96">
        <w:rPr>
          <w:szCs w:val="28"/>
        </w:rPr>
        <w:t>0</w:t>
      </w:r>
      <w:r w:rsidRPr="00782A96">
        <w:rPr>
          <w:szCs w:val="28"/>
        </w:rPr>
        <w:t>,1 процентного пункта (</w:t>
      </w:r>
      <w:proofErr w:type="spellStart"/>
      <w:r w:rsidRPr="00782A96">
        <w:rPr>
          <w:szCs w:val="28"/>
        </w:rPr>
        <w:t>п.п</w:t>
      </w:r>
      <w:proofErr w:type="spellEnd"/>
      <w:r w:rsidRPr="00782A96">
        <w:rPr>
          <w:szCs w:val="28"/>
        </w:rPr>
        <w:t>.) по сравнению с аналогичным периодом прошлого года</w:t>
      </w:r>
      <w:r w:rsidR="00D27C36" w:rsidRPr="00782A96">
        <w:rPr>
          <w:szCs w:val="28"/>
        </w:rPr>
        <w:t>.</w:t>
      </w:r>
    </w:p>
    <w:p w14:paraId="13E9D84E" w14:textId="77777777" w:rsidR="00D27C36" w:rsidRPr="00782A96" w:rsidRDefault="00D27C36" w:rsidP="00D27C36">
      <w:pPr>
        <w:ind w:firstLine="360"/>
        <w:jc w:val="both"/>
        <w:rPr>
          <w:szCs w:val="28"/>
        </w:rPr>
      </w:pPr>
      <w:r w:rsidRPr="00782A96">
        <w:rPr>
          <w:szCs w:val="28"/>
        </w:rPr>
        <w:t xml:space="preserve">За отчетный период, с целью регулирования денежной массы в обращении, управления уровнем ликвидности кредитных организаций и уменьшения инфляционных монетарных давлений Национальным банком Таджикистана было проведено 61 аукцион по продаже ценных бумаг на сумму </w:t>
      </w:r>
      <w:r w:rsidR="00B53C5D" w:rsidRPr="00782A96">
        <w:rPr>
          <w:szCs w:val="28"/>
        </w:rPr>
        <w:t>12</w:t>
      </w:r>
      <w:r w:rsidRPr="00782A96">
        <w:rPr>
          <w:szCs w:val="28"/>
        </w:rPr>
        <w:t>,</w:t>
      </w:r>
      <w:r w:rsidR="00B53C5D" w:rsidRPr="00782A96">
        <w:rPr>
          <w:szCs w:val="28"/>
        </w:rPr>
        <w:t>4</w:t>
      </w:r>
      <w:r w:rsidRPr="00782A96">
        <w:rPr>
          <w:szCs w:val="28"/>
        </w:rPr>
        <w:t xml:space="preserve"> млрд сомони.</w:t>
      </w:r>
      <w:r w:rsidRPr="00782A96">
        <w:rPr>
          <w:b/>
          <w:szCs w:val="28"/>
        </w:rPr>
        <w:t xml:space="preserve"> </w:t>
      </w:r>
      <w:r w:rsidRPr="00782A96">
        <w:rPr>
          <w:szCs w:val="28"/>
          <w:lang w:val="tt-RU"/>
        </w:rPr>
        <w:t xml:space="preserve">Вместе с тем, за этот период </w:t>
      </w:r>
      <w:r w:rsidRPr="00782A96">
        <w:rPr>
          <w:szCs w:val="28"/>
          <w:lang w:val="tt-RU"/>
        </w:rPr>
        <w:lastRenderedPageBreak/>
        <w:t xml:space="preserve">посредством проведения депозитных операций овернайт были привлечены свободные средства кредитных организаций в среднем каждый день на сумму </w:t>
      </w:r>
      <w:r w:rsidR="00B53C5D" w:rsidRPr="00782A96">
        <w:rPr>
          <w:szCs w:val="28"/>
          <w:lang w:val="tt-RU"/>
        </w:rPr>
        <w:t>1</w:t>
      </w:r>
      <w:r w:rsidRPr="00782A96">
        <w:rPr>
          <w:szCs w:val="28"/>
          <w:lang w:val="tt-RU"/>
        </w:rPr>
        <w:t>,</w:t>
      </w:r>
      <w:r w:rsidR="00B53C5D" w:rsidRPr="00782A96">
        <w:rPr>
          <w:szCs w:val="28"/>
          <w:lang w:val="tt-RU"/>
        </w:rPr>
        <w:t>3</w:t>
      </w:r>
      <w:r w:rsidRPr="00782A96">
        <w:rPr>
          <w:szCs w:val="28"/>
          <w:lang w:val="tt-RU"/>
        </w:rPr>
        <w:t xml:space="preserve"> мл</w:t>
      </w:r>
      <w:r w:rsidR="00B53C5D" w:rsidRPr="00782A96">
        <w:rPr>
          <w:szCs w:val="28"/>
          <w:lang w:val="tt-RU"/>
        </w:rPr>
        <w:t>рд</w:t>
      </w:r>
      <w:r w:rsidRPr="00782A96">
        <w:rPr>
          <w:szCs w:val="28"/>
          <w:lang w:val="tt-RU"/>
        </w:rPr>
        <w:t xml:space="preserve"> сомони</w:t>
      </w:r>
      <w:r w:rsidRPr="00782A96">
        <w:rPr>
          <w:szCs w:val="28"/>
        </w:rPr>
        <w:t>.</w:t>
      </w:r>
    </w:p>
    <w:p w14:paraId="0D1BF6DD" w14:textId="77777777" w:rsidR="00BA3803" w:rsidRPr="00782A96" w:rsidRDefault="00331169" w:rsidP="0058613E">
      <w:pPr>
        <w:ind w:firstLine="708"/>
        <w:jc w:val="both"/>
        <w:rPr>
          <w:rFonts w:cs="Times New Roman"/>
          <w:szCs w:val="28"/>
        </w:rPr>
      </w:pPr>
      <w:r w:rsidRPr="00782A96">
        <w:rPr>
          <w:szCs w:val="28"/>
        </w:rPr>
        <w:t xml:space="preserve">Ставка рефинансирования в качестве основного инструмента денежно-кредитной политики в связи с продолжением стабильной тенденции внутренних и мировых цен на товары и продукцию, с </w:t>
      </w:r>
      <w:r w:rsidRPr="00782A96">
        <w:rPr>
          <w:color w:val="000000" w:themeColor="text1"/>
          <w:szCs w:val="28"/>
        </w:rPr>
        <w:t xml:space="preserve">учетом положительного прогноза макроэкономических показателей, минимизации воздействия потенциальных рисков на экономику, а также сохранения инфляции ниже установленного </w:t>
      </w:r>
      <w:proofErr w:type="spellStart"/>
      <w:r w:rsidRPr="00782A96">
        <w:rPr>
          <w:color w:val="000000" w:themeColor="text1"/>
          <w:szCs w:val="28"/>
        </w:rPr>
        <w:t>таргета</w:t>
      </w:r>
      <w:proofErr w:type="spellEnd"/>
      <w:r w:rsidRPr="00782A96">
        <w:rPr>
          <w:color w:val="000000" w:themeColor="text1"/>
          <w:szCs w:val="28"/>
        </w:rPr>
        <w:t xml:space="preserve"> за этот период </w:t>
      </w:r>
      <w:r w:rsidRPr="00782A96">
        <w:rPr>
          <w:szCs w:val="28"/>
        </w:rPr>
        <w:t xml:space="preserve">постепенно была снижена до 0,75 процентного пункта и установлена на уровне </w:t>
      </w:r>
      <w:r w:rsidR="00BA3803" w:rsidRPr="00782A96">
        <w:rPr>
          <w:szCs w:val="28"/>
        </w:rPr>
        <w:t>8</w:t>
      </w:r>
      <w:r w:rsidRPr="00782A96">
        <w:rPr>
          <w:szCs w:val="28"/>
        </w:rPr>
        <w:t>,25 процентов годовых.</w:t>
      </w:r>
    </w:p>
    <w:p w14:paraId="04DA3D8D" w14:textId="77777777" w:rsidR="007D18C2" w:rsidRPr="00782A96" w:rsidRDefault="001660CD" w:rsidP="001660CD">
      <w:pPr>
        <w:jc w:val="center"/>
        <w:rPr>
          <w:rFonts w:cs="Times New Roman"/>
          <w:b/>
          <w:szCs w:val="28"/>
        </w:rPr>
      </w:pPr>
      <w:r w:rsidRPr="00782A96">
        <w:rPr>
          <w:rFonts w:cs="Times New Roman"/>
          <w:b/>
          <w:szCs w:val="28"/>
        </w:rPr>
        <w:t>Состояние</w:t>
      </w:r>
      <w:r w:rsidR="007D18C2" w:rsidRPr="00782A96">
        <w:rPr>
          <w:rFonts w:cs="Times New Roman"/>
          <w:b/>
          <w:szCs w:val="28"/>
        </w:rPr>
        <w:t xml:space="preserve"> внутреннего валютного рынка</w:t>
      </w:r>
    </w:p>
    <w:p w14:paraId="437805B7" w14:textId="6FC5586C" w:rsidR="007D18C2" w:rsidRPr="00782A96" w:rsidRDefault="0054020C" w:rsidP="0054020C">
      <w:pPr>
        <w:ind w:firstLine="708"/>
        <w:jc w:val="both"/>
        <w:rPr>
          <w:rFonts w:cs="Times New Roman"/>
          <w:szCs w:val="28"/>
        </w:rPr>
      </w:pPr>
      <w:r w:rsidRPr="00782A96">
        <w:rPr>
          <w:szCs w:val="28"/>
          <w:lang w:val="tt-RU"/>
        </w:rPr>
        <w:t xml:space="preserve">За отчетный период Национальный банк Таджикистана продолжил курсовую политику, основанную </w:t>
      </w:r>
      <w:r w:rsidRPr="00782A96">
        <w:rPr>
          <w:szCs w:val="28"/>
        </w:rPr>
        <w:t>на режиме «плавающего регулируемого курса, без определения и объявления пределов изменения курса». Официальный курс сомони по отношению к доллару США за первое полугодие текущего года укрепился на 9,4 процента. За аналогичный период 202</w:t>
      </w:r>
      <w:r w:rsidR="00AA3352">
        <w:rPr>
          <w:szCs w:val="28"/>
          <w:lang w:val="tg-Cyrl-TJ"/>
        </w:rPr>
        <w:t>4</w:t>
      </w:r>
      <w:r w:rsidRPr="00782A96">
        <w:rPr>
          <w:szCs w:val="28"/>
        </w:rPr>
        <w:t xml:space="preserve"> года укрепление данного показателя</w:t>
      </w:r>
      <w:r w:rsidR="00B74395" w:rsidRPr="00782A96">
        <w:rPr>
          <w:szCs w:val="28"/>
        </w:rPr>
        <w:t xml:space="preserve"> составляло</w:t>
      </w:r>
      <w:r w:rsidRPr="00782A96">
        <w:rPr>
          <w:szCs w:val="28"/>
        </w:rPr>
        <w:t xml:space="preserve"> </w:t>
      </w:r>
      <w:r w:rsidR="00B74395" w:rsidRPr="00782A96">
        <w:rPr>
          <w:szCs w:val="28"/>
        </w:rPr>
        <w:t>2</w:t>
      </w:r>
      <w:r w:rsidRPr="00782A96">
        <w:rPr>
          <w:szCs w:val="28"/>
        </w:rPr>
        <w:t>,</w:t>
      </w:r>
      <w:r w:rsidR="00B74395" w:rsidRPr="00782A96">
        <w:rPr>
          <w:szCs w:val="28"/>
        </w:rPr>
        <w:t>7</w:t>
      </w:r>
      <w:r w:rsidRPr="00782A96">
        <w:rPr>
          <w:szCs w:val="28"/>
        </w:rPr>
        <w:t xml:space="preserve"> процента.</w:t>
      </w:r>
    </w:p>
    <w:p w14:paraId="6E801FDC" w14:textId="77777777" w:rsidR="007D18C2" w:rsidRPr="00782A96" w:rsidRDefault="007D18C2" w:rsidP="001660CD">
      <w:pPr>
        <w:ind w:firstLine="708"/>
        <w:jc w:val="both"/>
        <w:rPr>
          <w:rFonts w:cs="Times New Roman"/>
          <w:szCs w:val="28"/>
        </w:rPr>
      </w:pPr>
      <w:r w:rsidRPr="00782A96">
        <w:rPr>
          <w:rFonts w:cs="Times New Roman"/>
          <w:szCs w:val="28"/>
        </w:rPr>
        <w:t xml:space="preserve">Учитывая сложную ситуацию в мировой экономике </w:t>
      </w:r>
      <w:r w:rsidR="00DA2A09" w:rsidRPr="00782A96">
        <w:rPr>
          <w:rFonts w:cs="Times New Roman"/>
          <w:szCs w:val="28"/>
        </w:rPr>
        <w:t xml:space="preserve">за </w:t>
      </w:r>
      <w:r w:rsidR="0058613E">
        <w:rPr>
          <w:rFonts w:cs="Times New Roman"/>
          <w:szCs w:val="28"/>
        </w:rPr>
        <w:t>этот</w:t>
      </w:r>
      <w:r w:rsidRPr="00782A96">
        <w:rPr>
          <w:rFonts w:cs="Times New Roman"/>
          <w:szCs w:val="28"/>
        </w:rPr>
        <w:t xml:space="preserve"> период официальные курсы национальных валют большинства основных торговых партнеров Республики Таджикистан изменились. В частности, курс российского рубля </w:t>
      </w:r>
      <w:r w:rsidR="00CA65A3" w:rsidRPr="00782A96">
        <w:rPr>
          <w:szCs w:val="28"/>
        </w:rPr>
        <w:t xml:space="preserve">по отношению к доллару США </w:t>
      </w:r>
      <w:r w:rsidR="006E50A6" w:rsidRPr="00782A96">
        <w:rPr>
          <w:rFonts w:cs="Times New Roman"/>
          <w:szCs w:val="28"/>
        </w:rPr>
        <w:t xml:space="preserve">укрепился на </w:t>
      </w:r>
      <w:r w:rsidRPr="00782A96">
        <w:rPr>
          <w:rFonts w:cs="Times New Roman"/>
          <w:szCs w:val="28"/>
        </w:rPr>
        <w:t>22,8</w:t>
      </w:r>
      <w:r w:rsidR="006E50A6" w:rsidRPr="00782A96">
        <w:rPr>
          <w:rFonts w:cs="Times New Roman"/>
          <w:szCs w:val="28"/>
        </w:rPr>
        <w:t xml:space="preserve"> процента</w:t>
      </w:r>
      <w:r w:rsidRPr="00782A96">
        <w:rPr>
          <w:rFonts w:cs="Times New Roman"/>
          <w:szCs w:val="28"/>
        </w:rPr>
        <w:t>, белорусского рубля – 14,6</w:t>
      </w:r>
      <w:r w:rsidR="006E50A6" w:rsidRPr="00782A96">
        <w:rPr>
          <w:rFonts w:cs="Times New Roman"/>
          <w:szCs w:val="28"/>
        </w:rPr>
        <w:t xml:space="preserve"> процента</w:t>
      </w:r>
      <w:r w:rsidRPr="00782A96">
        <w:rPr>
          <w:rFonts w:cs="Times New Roman"/>
          <w:szCs w:val="28"/>
        </w:rPr>
        <w:t>, казахского тенге – 0,6</w:t>
      </w:r>
      <w:r w:rsidR="006E50A6" w:rsidRPr="00782A96">
        <w:rPr>
          <w:rFonts w:cs="Times New Roman"/>
          <w:szCs w:val="28"/>
        </w:rPr>
        <w:t xml:space="preserve"> процента, узбекского су</w:t>
      </w:r>
      <w:r w:rsidRPr="00782A96">
        <w:rPr>
          <w:rFonts w:cs="Times New Roman"/>
          <w:szCs w:val="28"/>
        </w:rPr>
        <w:t>ма – 2,1</w:t>
      </w:r>
      <w:r w:rsidR="006E50A6" w:rsidRPr="00782A96">
        <w:rPr>
          <w:rFonts w:cs="Times New Roman"/>
          <w:szCs w:val="28"/>
        </w:rPr>
        <w:t xml:space="preserve"> процента</w:t>
      </w:r>
      <w:r w:rsidRPr="00782A96">
        <w:rPr>
          <w:rFonts w:cs="Times New Roman"/>
          <w:szCs w:val="28"/>
        </w:rPr>
        <w:t>, китайского юаня – 0,4</w:t>
      </w:r>
      <w:r w:rsidR="006E50A6" w:rsidRPr="00782A96">
        <w:rPr>
          <w:rFonts w:cs="Times New Roman"/>
          <w:szCs w:val="28"/>
        </w:rPr>
        <w:t xml:space="preserve"> процента</w:t>
      </w:r>
      <w:r w:rsidRPr="00782A96">
        <w:rPr>
          <w:rFonts w:cs="Times New Roman"/>
          <w:szCs w:val="28"/>
        </w:rPr>
        <w:t xml:space="preserve">, </w:t>
      </w:r>
      <w:r w:rsidR="006E50A6" w:rsidRPr="00782A96">
        <w:rPr>
          <w:rFonts w:cs="Times New Roman"/>
          <w:szCs w:val="28"/>
        </w:rPr>
        <w:t xml:space="preserve">а курс </w:t>
      </w:r>
      <w:r w:rsidRPr="00782A96">
        <w:rPr>
          <w:rFonts w:cs="Times New Roman"/>
          <w:szCs w:val="28"/>
        </w:rPr>
        <w:t xml:space="preserve">турецкой лиры </w:t>
      </w:r>
      <w:r w:rsidR="00CA65A3" w:rsidRPr="00782A96">
        <w:rPr>
          <w:szCs w:val="28"/>
        </w:rPr>
        <w:t>по отношению к доллару США снизился на</w:t>
      </w:r>
      <w:r w:rsidRPr="00782A96">
        <w:rPr>
          <w:rFonts w:cs="Times New Roman"/>
          <w:szCs w:val="28"/>
        </w:rPr>
        <w:t xml:space="preserve"> 12,6</w:t>
      </w:r>
      <w:r w:rsidR="00CA65A3" w:rsidRPr="00782A96">
        <w:rPr>
          <w:rFonts w:cs="Times New Roman"/>
          <w:szCs w:val="28"/>
        </w:rPr>
        <w:t xml:space="preserve"> процента и</w:t>
      </w:r>
      <w:r w:rsidRPr="00782A96">
        <w:rPr>
          <w:rFonts w:cs="Times New Roman"/>
          <w:szCs w:val="28"/>
        </w:rPr>
        <w:t xml:space="preserve"> кыргызского сома</w:t>
      </w:r>
      <w:r w:rsidR="00CA65A3" w:rsidRPr="00782A96">
        <w:rPr>
          <w:rFonts w:cs="Times New Roman"/>
          <w:szCs w:val="28"/>
        </w:rPr>
        <w:t xml:space="preserve"> на </w:t>
      </w:r>
      <w:r w:rsidRPr="00782A96">
        <w:rPr>
          <w:rFonts w:cs="Times New Roman"/>
          <w:szCs w:val="28"/>
        </w:rPr>
        <w:t>0,5</w:t>
      </w:r>
      <w:r w:rsidR="00CA65A3" w:rsidRPr="00782A96">
        <w:rPr>
          <w:rFonts w:cs="Times New Roman"/>
          <w:szCs w:val="28"/>
        </w:rPr>
        <w:t xml:space="preserve"> процента</w:t>
      </w:r>
      <w:r w:rsidRPr="00782A96">
        <w:rPr>
          <w:rFonts w:cs="Times New Roman"/>
          <w:szCs w:val="28"/>
        </w:rPr>
        <w:t>.</w:t>
      </w:r>
    </w:p>
    <w:p w14:paraId="445327B8" w14:textId="77777777" w:rsidR="007D18C2" w:rsidRPr="00782A96" w:rsidRDefault="007D18C2" w:rsidP="001660CD">
      <w:pPr>
        <w:jc w:val="center"/>
        <w:rPr>
          <w:rFonts w:cs="Times New Roman"/>
          <w:b/>
          <w:szCs w:val="28"/>
        </w:rPr>
      </w:pPr>
      <w:r w:rsidRPr="00782A96">
        <w:rPr>
          <w:rFonts w:cs="Times New Roman"/>
          <w:b/>
          <w:szCs w:val="28"/>
        </w:rPr>
        <w:t>БАНКОВСКАЯ СИСТЕМА</w:t>
      </w:r>
    </w:p>
    <w:p w14:paraId="45278DCB" w14:textId="77777777" w:rsidR="007D18C2" w:rsidRPr="00782A96" w:rsidRDefault="007D18C2" w:rsidP="001660CD">
      <w:pPr>
        <w:jc w:val="center"/>
        <w:rPr>
          <w:rFonts w:cs="Times New Roman"/>
          <w:b/>
          <w:szCs w:val="28"/>
        </w:rPr>
      </w:pPr>
      <w:r w:rsidRPr="00782A96">
        <w:rPr>
          <w:rFonts w:cs="Times New Roman"/>
          <w:b/>
          <w:szCs w:val="28"/>
        </w:rPr>
        <w:t>Кредитные организации и их структурные подразделения</w:t>
      </w:r>
    </w:p>
    <w:p w14:paraId="19777752" w14:textId="77777777" w:rsidR="00531053" w:rsidRPr="00782A96" w:rsidRDefault="00531053" w:rsidP="00531053">
      <w:pPr>
        <w:ind w:firstLine="360"/>
        <w:jc w:val="both"/>
        <w:rPr>
          <w:szCs w:val="28"/>
        </w:rPr>
      </w:pPr>
      <w:r w:rsidRPr="00782A96">
        <w:rPr>
          <w:szCs w:val="28"/>
        </w:rPr>
        <w:t xml:space="preserve">По состоянию на 30 июня 2025 года на территории Республики Таджикистан функционируют 65 кредитных финансовых организаций, в том числе 15 традиционных банков, 1 исламский банк, </w:t>
      </w:r>
      <w:r w:rsidRPr="00782A96">
        <w:rPr>
          <w:szCs w:val="28"/>
        </w:rPr>
        <w:br/>
      </w:r>
      <w:r w:rsidRPr="00782A96">
        <w:rPr>
          <w:szCs w:val="28"/>
        </w:rPr>
        <w:lastRenderedPageBreak/>
        <w:t xml:space="preserve">1 небанковская кредитная организация, 23 </w:t>
      </w:r>
      <w:proofErr w:type="spellStart"/>
      <w:r w:rsidRPr="00782A96">
        <w:rPr>
          <w:szCs w:val="28"/>
        </w:rPr>
        <w:t>микрокредитны</w:t>
      </w:r>
      <w:r w:rsidR="00A2610F" w:rsidRPr="00782A96">
        <w:rPr>
          <w:szCs w:val="28"/>
        </w:rPr>
        <w:t>е</w:t>
      </w:r>
      <w:proofErr w:type="spellEnd"/>
      <w:r w:rsidRPr="00782A96">
        <w:rPr>
          <w:szCs w:val="28"/>
        </w:rPr>
        <w:t xml:space="preserve"> депозитны</w:t>
      </w:r>
      <w:r w:rsidR="00A2610F" w:rsidRPr="00782A96">
        <w:rPr>
          <w:szCs w:val="28"/>
        </w:rPr>
        <w:t>е</w:t>
      </w:r>
      <w:r w:rsidRPr="00782A96">
        <w:rPr>
          <w:szCs w:val="28"/>
        </w:rPr>
        <w:t xml:space="preserve"> организаци</w:t>
      </w:r>
      <w:r w:rsidR="00A2610F" w:rsidRPr="00782A96">
        <w:rPr>
          <w:szCs w:val="28"/>
        </w:rPr>
        <w:t>и</w:t>
      </w:r>
      <w:r w:rsidRPr="00782A96">
        <w:rPr>
          <w:szCs w:val="28"/>
        </w:rPr>
        <w:t xml:space="preserve">, 3 </w:t>
      </w:r>
      <w:proofErr w:type="spellStart"/>
      <w:r w:rsidRPr="00782A96">
        <w:rPr>
          <w:szCs w:val="28"/>
        </w:rPr>
        <w:t>микрокредитны</w:t>
      </w:r>
      <w:r w:rsidR="00A2610F" w:rsidRPr="00782A96">
        <w:rPr>
          <w:szCs w:val="28"/>
        </w:rPr>
        <w:t>е</w:t>
      </w:r>
      <w:proofErr w:type="spellEnd"/>
      <w:r w:rsidRPr="00782A96">
        <w:rPr>
          <w:szCs w:val="28"/>
        </w:rPr>
        <w:t xml:space="preserve"> организации и 2</w:t>
      </w:r>
      <w:r w:rsidR="00AB4FB8">
        <w:rPr>
          <w:szCs w:val="28"/>
        </w:rPr>
        <w:t>2</w:t>
      </w:r>
      <w:r w:rsidRPr="00782A96">
        <w:rPr>
          <w:szCs w:val="28"/>
        </w:rPr>
        <w:t xml:space="preserve"> </w:t>
      </w:r>
      <w:proofErr w:type="spellStart"/>
      <w:r w:rsidRPr="00782A96">
        <w:rPr>
          <w:szCs w:val="28"/>
        </w:rPr>
        <w:t>микрокредитных</w:t>
      </w:r>
      <w:proofErr w:type="spellEnd"/>
      <w:r w:rsidRPr="00782A96">
        <w:rPr>
          <w:szCs w:val="28"/>
        </w:rPr>
        <w:t xml:space="preserve"> фонд</w:t>
      </w:r>
      <w:r w:rsidR="00AB4FB8">
        <w:rPr>
          <w:szCs w:val="28"/>
        </w:rPr>
        <w:t>а</w:t>
      </w:r>
      <w:r w:rsidRPr="00782A96">
        <w:rPr>
          <w:szCs w:val="28"/>
        </w:rPr>
        <w:t xml:space="preserve">. </w:t>
      </w:r>
    </w:p>
    <w:p w14:paraId="17293EB6" w14:textId="77777777" w:rsidR="007D18C2" w:rsidRPr="00782A96" w:rsidRDefault="00531053" w:rsidP="00A2610F">
      <w:pPr>
        <w:ind w:firstLine="360"/>
        <w:jc w:val="both"/>
        <w:rPr>
          <w:rFonts w:cs="Times New Roman"/>
          <w:szCs w:val="28"/>
        </w:rPr>
      </w:pPr>
      <w:r w:rsidRPr="00782A96">
        <w:rPr>
          <w:szCs w:val="28"/>
        </w:rPr>
        <w:t xml:space="preserve">Количество структурных подразделений кредитных финансовых организаций на отчетную дату составило 1 </w:t>
      </w:r>
      <w:r w:rsidR="00A2610F" w:rsidRPr="00782A96">
        <w:rPr>
          <w:szCs w:val="28"/>
        </w:rPr>
        <w:t>942</w:t>
      </w:r>
      <w:r w:rsidRPr="00782A96">
        <w:rPr>
          <w:szCs w:val="28"/>
        </w:rPr>
        <w:t xml:space="preserve"> единиц</w:t>
      </w:r>
      <w:r w:rsidR="00F721EB" w:rsidRPr="00782A96">
        <w:rPr>
          <w:szCs w:val="28"/>
        </w:rPr>
        <w:t>ы</w:t>
      </w:r>
      <w:r w:rsidRPr="00782A96">
        <w:rPr>
          <w:szCs w:val="28"/>
        </w:rPr>
        <w:t xml:space="preserve">, </w:t>
      </w:r>
      <w:r w:rsidR="00F721EB" w:rsidRPr="00782A96">
        <w:rPr>
          <w:rFonts w:cs="Times New Roman"/>
          <w:szCs w:val="28"/>
        </w:rPr>
        <w:t>что на 43 единиц</w:t>
      </w:r>
      <w:r w:rsidR="00AB4FB8">
        <w:rPr>
          <w:rFonts w:cs="Times New Roman"/>
          <w:szCs w:val="28"/>
        </w:rPr>
        <w:t>ы</w:t>
      </w:r>
      <w:r w:rsidR="00F721EB" w:rsidRPr="00782A96">
        <w:rPr>
          <w:rFonts w:cs="Times New Roman"/>
          <w:szCs w:val="28"/>
        </w:rPr>
        <w:t xml:space="preserve"> больше, чем на аналогичную дату прошлого года</w:t>
      </w:r>
      <w:r w:rsidR="00A2610F" w:rsidRPr="00782A96">
        <w:rPr>
          <w:szCs w:val="28"/>
        </w:rPr>
        <w:t>.</w:t>
      </w:r>
    </w:p>
    <w:p w14:paraId="24578F41" w14:textId="77777777" w:rsidR="007D18C2" w:rsidRPr="00782A96" w:rsidRDefault="007D18C2" w:rsidP="005C4B96">
      <w:pPr>
        <w:jc w:val="both"/>
        <w:rPr>
          <w:rFonts w:cs="Times New Roman"/>
          <w:szCs w:val="28"/>
        </w:rPr>
      </w:pPr>
    </w:p>
    <w:p w14:paraId="4E1F80DC" w14:textId="77777777" w:rsidR="007D18C2" w:rsidRPr="00782A96" w:rsidRDefault="00CF234C" w:rsidP="00CF234C">
      <w:pPr>
        <w:jc w:val="center"/>
        <w:rPr>
          <w:rFonts w:cs="Times New Roman"/>
          <w:b/>
          <w:szCs w:val="28"/>
        </w:rPr>
      </w:pPr>
      <w:r w:rsidRPr="00782A96">
        <w:rPr>
          <w:rFonts w:cs="Times New Roman"/>
          <w:b/>
          <w:szCs w:val="28"/>
        </w:rPr>
        <w:t>Объём активов</w:t>
      </w:r>
      <w:r w:rsidR="007D18C2" w:rsidRPr="00782A96">
        <w:rPr>
          <w:rFonts w:cs="Times New Roman"/>
          <w:b/>
          <w:szCs w:val="28"/>
        </w:rPr>
        <w:t>, обязательств и капитал</w:t>
      </w:r>
      <w:r w:rsidRPr="00782A96">
        <w:rPr>
          <w:rFonts w:cs="Times New Roman"/>
          <w:b/>
          <w:szCs w:val="28"/>
        </w:rPr>
        <w:t>а</w:t>
      </w:r>
    </w:p>
    <w:p w14:paraId="299F665E" w14:textId="77777777" w:rsidR="00CF234C" w:rsidRPr="00782A96" w:rsidRDefault="007D18C2" w:rsidP="00CF234C">
      <w:pPr>
        <w:ind w:firstLine="708"/>
        <w:jc w:val="both"/>
        <w:rPr>
          <w:rFonts w:cs="Times New Roman"/>
          <w:szCs w:val="28"/>
        </w:rPr>
      </w:pPr>
      <w:r w:rsidRPr="00782A96">
        <w:rPr>
          <w:rFonts w:cs="Times New Roman"/>
          <w:szCs w:val="28"/>
        </w:rPr>
        <w:t xml:space="preserve">Активы и обязательства </w:t>
      </w:r>
      <w:r w:rsidR="00AB4FB8">
        <w:rPr>
          <w:rFonts w:cs="Times New Roman"/>
          <w:szCs w:val="28"/>
        </w:rPr>
        <w:t xml:space="preserve">кредитных </w:t>
      </w:r>
      <w:r w:rsidRPr="00782A96">
        <w:rPr>
          <w:rFonts w:cs="Times New Roman"/>
          <w:szCs w:val="28"/>
        </w:rPr>
        <w:t xml:space="preserve">финансовых организаций на конец июня 2025 года </w:t>
      </w:r>
      <w:r w:rsidR="00AB4FB8">
        <w:rPr>
          <w:rFonts w:cs="Times New Roman"/>
          <w:szCs w:val="28"/>
        </w:rPr>
        <w:t>достигл</w:t>
      </w:r>
      <w:r w:rsidRPr="00782A96">
        <w:rPr>
          <w:rFonts w:cs="Times New Roman"/>
          <w:szCs w:val="28"/>
        </w:rPr>
        <w:t xml:space="preserve">и 52,2 млрд сомони и 42,1 млрд сомони, </w:t>
      </w:r>
      <w:r w:rsidR="00EC4382" w:rsidRPr="00782A96">
        <w:rPr>
          <w:rFonts w:cs="Times New Roman"/>
          <w:szCs w:val="28"/>
        </w:rPr>
        <w:t xml:space="preserve">увеличившись по сравнению с аналогичным периодом 2024 года соответственно на </w:t>
      </w:r>
      <w:r w:rsidRPr="00782A96">
        <w:rPr>
          <w:rFonts w:cs="Times New Roman"/>
          <w:szCs w:val="28"/>
        </w:rPr>
        <w:t>26,8</w:t>
      </w:r>
      <w:r w:rsidR="00EC4382" w:rsidRPr="00782A96">
        <w:rPr>
          <w:rFonts w:cs="Times New Roman"/>
          <w:szCs w:val="28"/>
        </w:rPr>
        <w:t xml:space="preserve"> процента</w:t>
      </w:r>
      <w:r w:rsidRPr="00782A96">
        <w:rPr>
          <w:rFonts w:cs="Times New Roman"/>
          <w:szCs w:val="28"/>
        </w:rPr>
        <w:t xml:space="preserve"> (или 11,0 млрд сомони) и 27,0</w:t>
      </w:r>
      <w:r w:rsidR="00EC4382" w:rsidRPr="00782A96">
        <w:rPr>
          <w:rFonts w:cs="Times New Roman"/>
          <w:szCs w:val="28"/>
        </w:rPr>
        <w:t xml:space="preserve"> процента</w:t>
      </w:r>
      <w:r w:rsidRPr="00782A96">
        <w:rPr>
          <w:rFonts w:cs="Times New Roman"/>
          <w:szCs w:val="28"/>
        </w:rPr>
        <w:t xml:space="preserve"> (или 8,9 млрд сомони).</w:t>
      </w:r>
    </w:p>
    <w:p w14:paraId="6326F3F2" w14:textId="77777777" w:rsidR="007D18C2" w:rsidRPr="00782A96" w:rsidRDefault="007D18C2" w:rsidP="00B361E1">
      <w:pPr>
        <w:ind w:firstLine="708"/>
        <w:jc w:val="both"/>
        <w:rPr>
          <w:rFonts w:cs="Times New Roman"/>
          <w:szCs w:val="28"/>
        </w:rPr>
      </w:pPr>
      <w:r w:rsidRPr="00782A96">
        <w:rPr>
          <w:rFonts w:cs="Times New Roman"/>
          <w:szCs w:val="28"/>
        </w:rPr>
        <w:t xml:space="preserve">Балансовый капитал </w:t>
      </w:r>
      <w:r w:rsidR="00375B9F">
        <w:rPr>
          <w:rFonts w:cs="Times New Roman"/>
          <w:szCs w:val="28"/>
        </w:rPr>
        <w:t xml:space="preserve">кредитных </w:t>
      </w:r>
      <w:r w:rsidRPr="00782A96">
        <w:rPr>
          <w:rFonts w:cs="Times New Roman"/>
          <w:szCs w:val="28"/>
        </w:rPr>
        <w:t xml:space="preserve">финансовых организаций на 30 июня 2025 года составил 10,1 млрд сомони, увеличившись </w:t>
      </w:r>
      <w:r w:rsidR="00D10122" w:rsidRPr="00782A96">
        <w:rPr>
          <w:rFonts w:cs="Times New Roman"/>
          <w:szCs w:val="28"/>
        </w:rPr>
        <w:t xml:space="preserve">по сравнению с аналогичной датой 2024 года </w:t>
      </w:r>
      <w:r w:rsidRPr="00782A96">
        <w:rPr>
          <w:rFonts w:cs="Times New Roman"/>
          <w:szCs w:val="28"/>
        </w:rPr>
        <w:t xml:space="preserve">на 2,1 млрд сомони или </w:t>
      </w:r>
      <w:r w:rsidR="00D10122" w:rsidRPr="00782A96">
        <w:rPr>
          <w:rFonts w:cs="Times New Roman"/>
          <w:szCs w:val="28"/>
        </w:rPr>
        <w:t xml:space="preserve">на </w:t>
      </w:r>
      <w:r w:rsidRPr="00782A96">
        <w:rPr>
          <w:rFonts w:cs="Times New Roman"/>
          <w:szCs w:val="28"/>
        </w:rPr>
        <w:t>25,7</w:t>
      </w:r>
      <w:r w:rsidR="00D10122" w:rsidRPr="00782A96">
        <w:rPr>
          <w:rFonts w:cs="Times New Roman"/>
          <w:szCs w:val="28"/>
        </w:rPr>
        <w:t xml:space="preserve"> процента</w:t>
      </w:r>
      <w:r w:rsidRPr="00782A96">
        <w:rPr>
          <w:rFonts w:cs="Times New Roman"/>
          <w:szCs w:val="28"/>
        </w:rPr>
        <w:t>.</w:t>
      </w:r>
    </w:p>
    <w:p w14:paraId="686975E9" w14:textId="77777777" w:rsidR="007D18C2" w:rsidRPr="00782A96" w:rsidRDefault="007D18C2" w:rsidP="00974B6D">
      <w:pPr>
        <w:jc w:val="center"/>
        <w:rPr>
          <w:rFonts w:cs="Times New Roman"/>
          <w:b/>
          <w:szCs w:val="28"/>
        </w:rPr>
      </w:pPr>
      <w:r w:rsidRPr="00782A96">
        <w:rPr>
          <w:rFonts w:cs="Times New Roman"/>
          <w:b/>
          <w:szCs w:val="28"/>
        </w:rPr>
        <w:t>Депозиты</w:t>
      </w:r>
    </w:p>
    <w:p w14:paraId="30DD542C" w14:textId="77777777" w:rsidR="007D18C2" w:rsidRPr="00782A96" w:rsidRDefault="007D18C2" w:rsidP="00974B6D">
      <w:pPr>
        <w:ind w:firstLine="708"/>
        <w:jc w:val="both"/>
        <w:rPr>
          <w:rFonts w:cs="Times New Roman"/>
          <w:szCs w:val="28"/>
        </w:rPr>
      </w:pPr>
      <w:r w:rsidRPr="00782A96">
        <w:rPr>
          <w:rFonts w:cs="Times New Roman"/>
          <w:szCs w:val="28"/>
        </w:rPr>
        <w:t xml:space="preserve">По состоянию на 30 июня 2025 года общий остаток депозитов составил 29,3 млрд сомони, </w:t>
      </w:r>
      <w:r w:rsidR="00B85D1A" w:rsidRPr="00782A96">
        <w:rPr>
          <w:szCs w:val="28"/>
        </w:rPr>
        <w:t>увеличившись по сравнению с аналогичной датой</w:t>
      </w:r>
      <w:r w:rsidR="00B85D1A" w:rsidRPr="00782A96">
        <w:rPr>
          <w:rFonts w:cs="Times New Roman"/>
          <w:szCs w:val="28"/>
        </w:rPr>
        <w:t xml:space="preserve"> прошлого года </w:t>
      </w:r>
      <w:r w:rsidRPr="00782A96">
        <w:rPr>
          <w:rFonts w:cs="Times New Roman"/>
          <w:szCs w:val="28"/>
        </w:rPr>
        <w:t>на 39,0</w:t>
      </w:r>
      <w:r w:rsidR="00B85D1A" w:rsidRPr="00782A96">
        <w:rPr>
          <w:rFonts w:cs="Times New Roman"/>
          <w:szCs w:val="28"/>
        </w:rPr>
        <w:t xml:space="preserve"> процента</w:t>
      </w:r>
      <w:r w:rsidRPr="00782A96">
        <w:rPr>
          <w:rFonts w:cs="Times New Roman"/>
          <w:szCs w:val="28"/>
        </w:rPr>
        <w:t>.</w:t>
      </w:r>
    </w:p>
    <w:p w14:paraId="35F2DE5F" w14:textId="77777777" w:rsidR="007D18C2" w:rsidRPr="00782A96" w:rsidRDefault="00A07C89" w:rsidP="00974B6D">
      <w:pPr>
        <w:ind w:firstLine="708"/>
        <w:jc w:val="both"/>
        <w:rPr>
          <w:rFonts w:cs="Times New Roman"/>
          <w:szCs w:val="28"/>
        </w:rPr>
      </w:pPr>
      <w:r w:rsidRPr="00782A96">
        <w:rPr>
          <w:szCs w:val="28"/>
        </w:rPr>
        <w:t xml:space="preserve">Доля депозитов в национальной валюте в общем объёме остатков депозитов </w:t>
      </w:r>
      <w:r w:rsidR="007D18C2" w:rsidRPr="00782A96">
        <w:rPr>
          <w:rFonts w:cs="Times New Roman"/>
          <w:szCs w:val="28"/>
        </w:rPr>
        <w:t>составил</w:t>
      </w:r>
      <w:r w:rsidRPr="00782A96">
        <w:rPr>
          <w:rFonts w:cs="Times New Roman"/>
          <w:szCs w:val="28"/>
        </w:rPr>
        <w:t>а</w:t>
      </w:r>
      <w:r w:rsidR="007D18C2" w:rsidRPr="00782A96">
        <w:rPr>
          <w:rFonts w:cs="Times New Roman"/>
          <w:szCs w:val="28"/>
        </w:rPr>
        <w:t xml:space="preserve"> 59,4</w:t>
      </w:r>
      <w:r w:rsidRPr="00782A96">
        <w:rPr>
          <w:rFonts w:cs="Times New Roman"/>
          <w:szCs w:val="28"/>
        </w:rPr>
        <w:t xml:space="preserve"> процента</w:t>
      </w:r>
      <w:r w:rsidR="007D18C2" w:rsidRPr="00782A96">
        <w:rPr>
          <w:rFonts w:cs="Times New Roman"/>
          <w:szCs w:val="28"/>
        </w:rPr>
        <w:t>, в иностранной валюте – 40,6</w:t>
      </w:r>
      <w:r w:rsidRPr="00782A96">
        <w:rPr>
          <w:rFonts w:cs="Times New Roman"/>
          <w:szCs w:val="28"/>
        </w:rPr>
        <w:t xml:space="preserve"> процента</w:t>
      </w:r>
      <w:r w:rsidR="007D18C2" w:rsidRPr="00782A96">
        <w:rPr>
          <w:rFonts w:cs="Times New Roman"/>
          <w:szCs w:val="28"/>
        </w:rPr>
        <w:t>.</w:t>
      </w:r>
    </w:p>
    <w:p w14:paraId="4149B9CE" w14:textId="77777777" w:rsidR="007D18C2" w:rsidRPr="00782A96" w:rsidRDefault="009C2C29" w:rsidP="00B361E1">
      <w:pPr>
        <w:ind w:firstLine="708"/>
        <w:jc w:val="both"/>
        <w:rPr>
          <w:rFonts w:cs="Times New Roman"/>
          <w:szCs w:val="28"/>
        </w:rPr>
      </w:pPr>
      <w:r w:rsidRPr="00782A96">
        <w:rPr>
          <w:szCs w:val="28"/>
        </w:rPr>
        <w:t xml:space="preserve">В структуре общего остатка депозитов </w:t>
      </w:r>
      <w:r w:rsidR="00D645E4" w:rsidRPr="00782A96">
        <w:rPr>
          <w:szCs w:val="28"/>
        </w:rPr>
        <w:t>доля юридических лиц составляе</w:t>
      </w:r>
      <w:r w:rsidRPr="00782A96">
        <w:rPr>
          <w:szCs w:val="28"/>
        </w:rPr>
        <w:t xml:space="preserve">т </w:t>
      </w:r>
      <w:r w:rsidR="00D645E4" w:rsidRPr="00782A96">
        <w:rPr>
          <w:rFonts w:cs="Times New Roman"/>
          <w:szCs w:val="28"/>
        </w:rPr>
        <w:t>12,7 млрд сомони или 43,5 процента, а доля физических лиц – 16,6 млрд сомони или 56,5 процента.</w:t>
      </w:r>
    </w:p>
    <w:p w14:paraId="4469DEC4" w14:textId="77777777" w:rsidR="007D18C2" w:rsidRPr="00782A96" w:rsidRDefault="007D18C2" w:rsidP="00974B6D">
      <w:pPr>
        <w:jc w:val="center"/>
        <w:rPr>
          <w:rFonts w:cs="Times New Roman"/>
          <w:b/>
          <w:szCs w:val="28"/>
        </w:rPr>
      </w:pPr>
      <w:r w:rsidRPr="00782A96">
        <w:rPr>
          <w:rFonts w:cs="Times New Roman"/>
          <w:b/>
          <w:szCs w:val="28"/>
        </w:rPr>
        <w:t>Выданные кредиты и остаток кредитного портфеля</w:t>
      </w:r>
    </w:p>
    <w:p w14:paraId="2C93D142" w14:textId="77777777" w:rsidR="0059793E" w:rsidRPr="00782A96" w:rsidRDefault="0059793E" w:rsidP="00974B6D">
      <w:pPr>
        <w:ind w:firstLine="708"/>
        <w:jc w:val="both"/>
        <w:rPr>
          <w:rFonts w:cs="Times New Roman"/>
          <w:szCs w:val="28"/>
        </w:rPr>
      </w:pPr>
      <w:r w:rsidRPr="00782A96">
        <w:rPr>
          <w:szCs w:val="28"/>
        </w:rPr>
        <w:t>Кредитное вложение является одним из основных инструментов обеспечения стабильного роста экономики, развития отечественного производства, повышения экспортного потенциала и создания новых рабочих мест.</w:t>
      </w:r>
    </w:p>
    <w:p w14:paraId="3DCF9277" w14:textId="77777777" w:rsidR="007D18C2" w:rsidRPr="00782A96" w:rsidRDefault="009614D6" w:rsidP="00974B6D">
      <w:pPr>
        <w:ind w:firstLine="708"/>
        <w:jc w:val="both"/>
        <w:rPr>
          <w:rFonts w:cs="Times New Roman"/>
          <w:szCs w:val="28"/>
        </w:rPr>
      </w:pPr>
      <w:r w:rsidRPr="00782A96">
        <w:rPr>
          <w:szCs w:val="28"/>
        </w:rPr>
        <w:lastRenderedPageBreak/>
        <w:t>Объем кредитов, выданных за первое полугодие 2025 года, составил 13,7 млрд сомони, что по сравнению с аналогичным периодом прошлого года больше на 3,1 млрд сомони или на 28,9 процента.</w:t>
      </w:r>
    </w:p>
    <w:p w14:paraId="5F32AFA0" w14:textId="77777777" w:rsidR="00174A2F" w:rsidRPr="00782A96" w:rsidRDefault="00174A2F" w:rsidP="00174A2F">
      <w:pPr>
        <w:ind w:firstLine="567"/>
        <w:jc w:val="both"/>
        <w:rPr>
          <w:szCs w:val="28"/>
        </w:rPr>
      </w:pPr>
      <w:r w:rsidRPr="00782A96">
        <w:rPr>
          <w:szCs w:val="28"/>
        </w:rPr>
        <w:t>Из общего объема кредитов, выданных за этот период, 49,8 процента приходится на сферу потребления, 15,1 процента на внешнюю торговлю, 12,6 процента на сельское хозяйство, 9,3 процента на промышленность, 6,4 процента на сферу о</w:t>
      </w:r>
      <w:r w:rsidR="005D69B8" w:rsidRPr="00782A96">
        <w:rPr>
          <w:szCs w:val="28"/>
        </w:rPr>
        <w:t>бслуживания, 3,6</w:t>
      </w:r>
      <w:r w:rsidRPr="00782A96">
        <w:rPr>
          <w:szCs w:val="28"/>
        </w:rPr>
        <w:t xml:space="preserve"> процента на строительство, </w:t>
      </w:r>
      <w:r w:rsidR="005D69B8" w:rsidRPr="00782A96">
        <w:rPr>
          <w:szCs w:val="28"/>
        </w:rPr>
        <w:t>3</w:t>
      </w:r>
      <w:r w:rsidRPr="00782A96">
        <w:rPr>
          <w:szCs w:val="28"/>
        </w:rPr>
        <w:t>,</w:t>
      </w:r>
      <w:r w:rsidR="005D69B8" w:rsidRPr="00782A96">
        <w:rPr>
          <w:szCs w:val="28"/>
        </w:rPr>
        <w:t>2</w:t>
      </w:r>
      <w:r w:rsidRPr="00782A96">
        <w:rPr>
          <w:szCs w:val="28"/>
        </w:rPr>
        <w:t xml:space="preserve"> процента на другие с</w:t>
      </w:r>
      <w:r w:rsidRPr="00782A96">
        <w:rPr>
          <w:color w:val="000000" w:themeColor="text1"/>
          <w:szCs w:val="28"/>
        </w:rPr>
        <w:t>фе</w:t>
      </w:r>
      <w:r w:rsidRPr="00782A96">
        <w:rPr>
          <w:szCs w:val="28"/>
        </w:rPr>
        <w:t>ры.</w:t>
      </w:r>
    </w:p>
    <w:p w14:paraId="36888982" w14:textId="77777777" w:rsidR="007D18C2" w:rsidRPr="00782A96" w:rsidRDefault="009F6332" w:rsidP="00974B6D">
      <w:pPr>
        <w:ind w:firstLine="708"/>
        <w:jc w:val="both"/>
        <w:rPr>
          <w:rFonts w:cs="Times New Roman"/>
          <w:szCs w:val="28"/>
        </w:rPr>
      </w:pPr>
      <w:r w:rsidRPr="00782A96">
        <w:rPr>
          <w:color w:val="000000" w:themeColor="text1"/>
          <w:szCs w:val="28"/>
        </w:rPr>
        <w:t xml:space="preserve">При этом следует отметить, что из общего объема кредитов, выданных за этот период, 27,7 процента </w:t>
      </w:r>
      <w:r w:rsidRPr="00782A96">
        <w:rPr>
          <w:szCs w:val="28"/>
        </w:rPr>
        <w:t>приходится на производственное предпринимательство, что составляет 3,8 млрд сомони.</w:t>
      </w:r>
    </w:p>
    <w:p w14:paraId="2F1007C9" w14:textId="77777777" w:rsidR="00D33CB5" w:rsidRPr="00782A96" w:rsidRDefault="00D33CB5" w:rsidP="00D33CB5">
      <w:pPr>
        <w:ind w:firstLine="708"/>
        <w:jc w:val="both"/>
        <w:rPr>
          <w:color w:val="000000" w:themeColor="text1"/>
          <w:szCs w:val="28"/>
        </w:rPr>
      </w:pPr>
      <w:r w:rsidRPr="00782A96">
        <w:rPr>
          <w:szCs w:val="28"/>
        </w:rPr>
        <w:t xml:space="preserve">Объём выданных микрокредитов за отчетный период составил 10,2 млрд сомони, увеличившись по сравнению с аналогичным периодом </w:t>
      </w:r>
      <w:r w:rsidRPr="00782A96">
        <w:rPr>
          <w:color w:val="000000" w:themeColor="text1"/>
          <w:szCs w:val="28"/>
        </w:rPr>
        <w:t>прошлого года на 29,0 процента.</w:t>
      </w:r>
    </w:p>
    <w:p w14:paraId="15076F68" w14:textId="77777777" w:rsidR="00494256" w:rsidRPr="000B75E2" w:rsidRDefault="00D33CB5" w:rsidP="000B75E2">
      <w:pPr>
        <w:ind w:firstLine="360"/>
        <w:jc w:val="both"/>
        <w:rPr>
          <w:color w:val="000000" w:themeColor="text1"/>
          <w:szCs w:val="28"/>
        </w:rPr>
      </w:pPr>
      <w:r w:rsidRPr="00782A96">
        <w:rPr>
          <w:color w:val="000000" w:themeColor="text1"/>
          <w:szCs w:val="28"/>
        </w:rPr>
        <w:t xml:space="preserve">Средневзвешенная процентная ставка по кредитам за январь-июнь месяцы текущего года в национальной валюте </w:t>
      </w:r>
      <w:r w:rsidR="000B75E2" w:rsidRPr="00782A96">
        <w:rPr>
          <w:color w:val="000000" w:themeColor="text1"/>
          <w:szCs w:val="28"/>
        </w:rPr>
        <w:t>составила 22</w:t>
      </w:r>
      <w:r w:rsidRPr="00782A96">
        <w:rPr>
          <w:color w:val="000000" w:themeColor="text1"/>
          <w:szCs w:val="28"/>
        </w:rPr>
        <w:t>,4 процента, в иностранной валюте 11,8 процента.</w:t>
      </w:r>
    </w:p>
    <w:p w14:paraId="5949A3E6" w14:textId="77777777" w:rsidR="00262CF9" w:rsidRPr="00782A96" w:rsidRDefault="00262CF9" w:rsidP="00262CF9">
      <w:pPr>
        <w:ind w:firstLine="708"/>
        <w:jc w:val="both"/>
        <w:rPr>
          <w:b/>
          <w:szCs w:val="28"/>
        </w:rPr>
      </w:pPr>
      <w:r w:rsidRPr="00782A96">
        <w:rPr>
          <w:b/>
          <w:szCs w:val="28"/>
        </w:rPr>
        <w:t>Стабильная деятельность</w:t>
      </w:r>
      <w:r w:rsidRPr="00782A96">
        <w:rPr>
          <w:szCs w:val="28"/>
        </w:rPr>
        <w:t xml:space="preserve"> </w:t>
      </w:r>
      <w:r w:rsidRPr="00782A96">
        <w:rPr>
          <w:b/>
          <w:szCs w:val="28"/>
        </w:rPr>
        <w:t>банковской системы</w:t>
      </w:r>
    </w:p>
    <w:p w14:paraId="79219474" w14:textId="00DE0B91" w:rsidR="00467FD1" w:rsidRPr="00782A96" w:rsidRDefault="006C16A7" w:rsidP="006C16A7">
      <w:pPr>
        <w:ind w:firstLine="708"/>
        <w:jc w:val="both"/>
        <w:rPr>
          <w:rFonts w:cs="Times New Roman"/>
          <w:szCs w:val="28"/>
        </w:rPr>
      </w:pPr>
      <w:r w:rsidRPr="00782A96">
        <w:rPr>
          <w:szCs w:val="28"/>
        </w:rPr>
        <w:t>Коэффициент достаточности капитала, являющийся одним из основных показателей финансовой устойчивости банковской системы, на 30 июня текущего года составил 23,8 процента, превысив установленный порог (12 процентов) на 11,8 процентного пункта</w:t>
      </w:r>
      <w:r w:rsidR="000B75E2">
        <w:rPr>
          <w:szCs w:val="28"/>
        </w:rPr>
        <w:t>.</w:t>
      </w:r>
    </w:p>
    <w:p w14:paraId="1849278B" w14:textId="77777777" w:rsidR="004E6336" w:rsidRPr="00782A96" w:rsidRDefault="004E6336" w:rsidP="00CD0F47">
      <w:pPr>
        <w:ind w:firstLine="708"/>
        <w:jc w:val="both"/>
        <w:rPr>
          <w:rFonts w:cs="Times New Roman"/>
          <w:szCs w:val="28"/>
        </w:rPr>
      </w:pPr>
      <w:r w:rsidRPr="00782A96">
        <w:rPr>
          <w:color w:val="000000" w:themeColor="text1"/>
          <w:szCs w:val="28"/>
        </w:rPr>
        <w:t xml:space="preserve">Коэффициент ликвидности в банковской системе на 30 июня </w:t>
      </w:r>
      <w:r w:rsidRPr="00782A96">
        <w:rPr>
          <w:color w:val="000000" w:themeColor="text1"/>
          <w:szCs w:val="28"/>
        </w:rPr>
        <w:br/>
        <w:t>2025 года составил</w:t>
      </w:r>
      <w:r w:rsidRPr="00782A96">
        <w:rPr>
          <w:szCs w:val="28"/>
        </w:rPr>
        <w:t xml:space="preserve"> 82,2 процента, что больше на 52,2 процентного пункта по сравнению с установленными требованиями.</w:t>
      </w:r>
    </w:p>
    <w:p w14:paraId="497ECDA5" w14:textId="77777777" w:rsidR="00467FD1" w:rsidRPr="00782A96" w:rsidRDefault="00467FD1" w:rsidP="005F08D7">
      <w:pPr>
        <w:ind w:firstLine="708"/>
        <w:jc w:val="both"/>
        <w:rPr>
          <w:rFonts w:cs="Times New Roman"/>
          <w:szCs w:val="28"/>
        </w:rPr>
      </w:pPr>
      <w:r w:rsidRPr="00782A96">
        <w:rPr>
          <w:rFonts w:cs="Times New Roman"/>
          <w:szCs w:val="28"/>
        </w:rPr>
        <w:t xml:space="preserve">Рентабельность активов </w:t>
      </w:r>
      <w:r w:rsidR="005F08D7" w:rsidRPr="00782A96">
        <w:rPr>
          <w:rFonts w:cs="Times New Roman"/>
          <w:szCs w:val="28"/>
        </w:rPr>
        <w:t xml:space="preserve">кредитных </w:t>
      </w:r>
      <w:r w:rsidRPr="00782A96">
        <w:rPr>
          <w:rFonts w:cs="Times New Roman"/>
          <w:szCs w:val="28"/>
        </w:rPr>
        <w:t>финансов</w:t>
      </w:r>
      <w:r w:rsidR="005F08D7" w:rsidRPr="00782A96">
        <w:rPr>
          <w:rFonts w:cs="Times New Roman"/>
          <w:szCs w:val="28"/>
        </w:rPr>
        <w:t>ых</w:t>
      </w:r>
      <w:r w:rsidRPr="00782A96">
        <w:rPr>
          <w:rFonts w:cs="Times New Roman"/>
          <w:szCs w:val="28"/>
        </w:rPr>
        <w:t xml:space="preserve"> организаций</w:t>
      </w:r>
      <w:r w:rsidR="00CD0F47" w:rsidRPr="00782A96">
        <w:rPr>
          <w:rFonts w:cs="Times New Roman"/>
          <w:szCs w:val="28"/>
        </w:rPr>
        <w:t>,</w:t>
      </w:r>
      <w:r w:rsidRPr="00782A96">
        <w:rPr>
          <w:rFonts w:cs="Times New Roman"/>
          <w:szCs w:val="28"/>
        </w:rPr>
        <w:t xml:space="preserve"> как показатель эффективности функционирования банковской системы, составила 4,5</w:t>
      </w:r>
      <w:r w:rsidR="00CD0F47" w:rsidRPr="00782A96">
        <w:rPr>
          <w:rFonts w:cs="Times New Roman"/>
          <w:szCs w:val="28"/>
        </w:rPr>
        <w:t xml:space="preserve"> процента</w:t>
      </w:r>
      <w:r w:rsidRPr="00782A96">
        <w:rPr>
          <w:rFonts w:cs="Times New Roman"/>
          <w:szCs w:val="28"/>
        </w:rPr>
        <w:t>, а рентабельность капитала – 23,1</w:t>
      </w:r>
      <w:r w:rsidR="00CD0F47" w:rsidRPr="00782A96">
        <w:rPr>
          <w:rFonts w:cs="Times New Roman"/>
          <w:szCs w:val="28"/>
        </w:rPr>
        <w:t xml:space="preserve"> процента</w:t>
      </w:r>
      <w:r w:rsidRPr="00782A96">
        <w:rPr>
          <w:rFonts w:cs="Times New Roman"/>
          <w:szCs w:val="28"/>
        </w:rPr>
        <w:t>.</w:t>
      </w:r>
    </w:p>
    <w:p w14:paraId="20A41E17" w14:textId="77777777" w:rsidR="00467FD1" w:rsidRPr="00782A96" w:rsidRDefault="00467FD1" w:rsidP="005C4B96">
      <w:pPr>
        <w:jc w:val="both"/>
        <w:rPr>
          <w:rFonts w:cs="Times New Roman"/>
          <w:szCs w:val="28"/>
        </w:rPr>
      </w:pPr>
    </w:p>
    <w:p w14:paraId="659ADAA7" w14:textId="77777777" w:rsidR="000440DB" w:rsidRDefault="000440DB" w:rsidP="005F08D7">
      <w:pPr>
        <w:jc w:val="center"/>
        <w:rPr>
          <w:rFonts w:cs="Times New Roman"/>
          <w:b/>
          <w:szCs w:val="28"/>
        </w:rPr>
      </w:pPr>
    </w:p>
    <w:p w14:paraId="53232874" w14:textId="48399F23" w:rsidR="00467FD1" w:rsidRPr="00782A96" w:rsidRDefault="00467FD1" w:rsidP="005F08D7">
      <w:pPr>
        <w:jc w:val="center"/>
        <w:rPr>
          <w:rFonts w:cs="Times New Roman"/>
          <w:b/>
          <w:szCs w:val="28"/>
        </w:rPr>
      </w:pPr>
      <w:r w:rsidRPr="00782A96">
        <w:rPr>
          <w:rFonts w:cs="Times New Roman"/>
          <w:b/>
          <w:szCs w:val="28"/>
        </w:rPr>
        <w:lastRenderedPageBreak/>
        <w:t>ПЛАТЕЖНАЯ СИСТЕМА</w:t>
      </w:r>
    </w:p>
    <w:p w14:paraId="06D3CAA7" w14:textId="77777777" w:rsidR="00467FD1" w:rsidRPr="00782A96" w:rsidRDefault="00C52484" w:rsidP="00C52484">
      <w:pPr>
        <w:ind w:firstLine="708"/>
        <w:jc w:val="both"/>
        <w:rPr>
          <w:rFonts w:cs="Times New Roman"/>
          <w:szCs w:val="28"/>
        </w:rPr>
      </w:pPr>
      <w:r w:rsidRPr="00782A96">
        <w:rPr>
          <w:szCs w:val="28"/>
          <w:lang w:val="tg-Cyrl-TJ"/>
        </w:rPr>
        <w:t xml:space="preserve">По состоянию на 30 июня 2025 года общее количество банковских платёжных карт составило 9,1 млн единиц, увеличившись на 20,5 процента </w:t>
      </w:r>
      <w:r w:rsidRPr="00782A96">
        <w:rPr>
          <w:rFonts w:cs="Times New Roman"/>
          <w:szCs w:val="28"/>
        </w:rPr>
        <w:t>(</w:t>
      </w:r>
      <w:r w:rsidR="00654B61" w:rsidRPr="00782A96">
        <w:rPr>
          <w:rFonts w:cs="Times New Roman"/>
          <w:szCs w:val="28"/>
        </w:rPr>
        <w:t>1,6</w:t>
      </w:r>
      <w:r w:rsidRPr="00782A96">
        <w:rPr>
          <w:rFonts w:cs="Times New Roman"/>
          <w:szCs w:val="28"/>
        </w:rPr>
        <w:t xml:space="preserve"> млн единиц) </w:t>
      </w:r>
      <w:r w:rsidRPr="00782A96">
        <w:rPr>
          <w:szCs w:val="28"/>
          <w:lang w:val="tg-Cyrl-TJ"/>
        </w:rPr>
        <w:t>по сравнению с аналогичной датой прошлого года. Также, за этот период  общее количество электронных кошельков достигло 15</w:t>
      </w:r>
      <w:r w:rsidRPr="00782A96">
        <w:rPr>
          <w:color w:val="000000" w:themeColor="text1"/>
          <w:szCs w:val="28"/>
          <w:lang w:val="tg-Cyrl-TJ"/>
        </w:rPr>
        <w:t xml:space="preserve">,7 млн единиц, что на </w:t>
      </w:r>
      <w:r w:rsidR="00654B61" w:rsidRPr="00782A96">
        <w:rPr>
          <w:color w:val="000000" w:themeColor="text1"/>
          <w:szCs w:val="28"/>
          <w:lang w:val="tg-Cyrl-TJ"/>
        </w:rPr>
        <w:t>50</w:t>
      </w:r>
      <w:r w:rsidRPr="00782A96">
        <w:rPr>
          <w:color w:val="000000" w:themeColor="text1"/>
          <w:szCs w:val="28"/>
          <w:lang w:val="tg-Cyrl-TJ"/>
        </w:rPr>
        <w:t>,</w:t>
      </w:r>
      <w:r w:rsidR="00654B61" w:rsidRPr="00782A96">
        <w:rPr>
          <w:color w:val="000000" w:themeColor="text1"/>
          <w:szCs w:val="28"/>
          <w:lang w:val="tg-Cyrl-TJ"/>
        </w:rPr>
        <w:t>8</w:t>
      </w:r>
      <w:r w:rsidRPr="00782A96">
        <w:rPr>
          <w:color w:val="000000" w:themeColor="text1"/>
          <w:szCs w:val="28"/>
          <w:lang w:val="tg-Cyrl-TJ"/>
        </w:rPr>
        <w:t xml:space="preserve"> процента </w:t>
      </w:r>
      <w:r w:rsidR="00654B61" w:rsidRPr="00782A96">
        <w:rPr>
          <w:color w:val="000000" w:themeColor="text1"/>
          <w:szCs w:val="28"/>
          <w:lang w:val="tg-Cyrl-TJ"/>
        </w:rPr>
        <w:t xml:space="preserve"> </w:t>
      </w:r>
      <w:r w:rsidR="00654B61" w:rsidRPr="00782A96">
        <w:rPr>
          <w:rFonts w:cs="Times New Roman"/>
          <w:szCs w:val="28"/>
        </w:rPr>
        <w:t xml:space="preserve">(5,3 млн единиц) </w:t>
      </w:r>
      <w:r w:rsidRPr="00782A96">
        <w:rPr>
          <w:color w:val="000000" w:themeColor="text1"/>
          <w:szCs w:val="28"/>
          <w:lang w:val="tg-Cyrl-TJ"/>
        </w:rPr>
        <w:t>больше по сравнению с аналогичным периодом 202</w:t>
      </w:r>
      <w:r w:rsidR="00654B61" w:rsidRPr="00782A96">
        <w:rPr>
          <w:color w:val="000000" w:themeColor="text1"/>
          <w:szCs w:val="28"/>
          <w:lang w:val="tg-Cyrl-TJ"/>
        </w:rPr>
        <w:t>4</w:t>
      </w:r>
      <w:r w:rsidRPr="00782A96">
        <w:rPr>
          <w:color w:val="000000" w:themeColor="text1"/>
          <w:szCs w:val="28"/>
          <w:lang w:val="tg-Cyrl-TJ"/>
        </w:rPr>
        <w:t xml:space="preserve"> года</w:t>
      </w:r>
      <w:r w:rsidR="00654B61" w:rsidRPr="00782A96">
        <w:rPr>
          <w:color w:val="000000" w:themeColor="text1"/>
          <w:szCs w:val="28"/>
          <w:lang w:val="tg-Cyrl-TJ"/>
        </w:rPr>
        <w:t>.</w:t>
      </w:r>
    </w:p>
    <w:p w14:paraId="06121A59" w14:textId="77777777" w:rsidR="00A25F5A" w:rsidRPr="00782A96" w:rsidRDefault="00D86F0C" w:rsidP="00D86F0C">
      <w:pPr>
        <w:tabs>
          <w:tab w:val="left" w:pos="9498"/>
        </w:tabs>
        <w:spacing w:line="288" w:lineRule="auto"/>
        <w:ind w:firstLine="709"/>
        <w:jc w:val="both"/>
        <w:rPr>
          <w:rFonts w:cs="Times New Roman"/>
          <w:szCs w:val="28"/>
        </w:rPr>
      </w:pPr>
      <w:r w:rsidRPr="00782A96">
        <w:rPr>
          <w:szCs w:val="28"/>
          <w:lang w:val="tg-Cyrl-TJ"/>
        </w:rPr>
        <w:t xml:space="preserve">Для осуществления безналичных платежей на отчётную дату </w:t>
      </w:r>
      <w:r w:rsidRPr="00782A96">
        <w:rPr>
          <w:color w:val="000000" w:themeColor="text1"/>
          <w:szCs w:val="28"/>
        </w:rPr>
        <w:t xml:space="preserve">в предприятиях торговли и сервиса установлено </w:t>
      </w:r>
      <w:r w:rsidR="001A47D9" w:rsidRPr="00782A96">
        <w:rPr>
          <w:color w:val="000000" w:themeColor="text1"/>
          <w:szCs w:val="28"/>
        </w:rPr>
        <w:t>12</w:t>
      </w:r>
      <w:r w:rsidRPr="00782A96">
        <w:rPr>
          <w:color w:val="000000" w:themeColor="text1"/>
          <w:szCs w:val="28"/>
        </w:rPr>
        <w:t xml:space="preserve"> </w:t>
      </w:r>
      <w:r w:rsidR="001A47D9" w:rsidRPr="00782A96">
        <w:rPr>
          <w:color w:val="000000" w:themeColor="text1"/>
          <w:szCs w:val="28"/>
        </w:rPr>
        <w:t>36</w:t>
      </w:r>
      <w:r w:rsidRPr="00782A96">
        <w:rPr>
          <w:color w:val="000000" w:themeColor="text1"/>
          <w:szCs w:val="28"/>
        </w:rPr>
        <w:t xml:space="preserve">9 </w:t>
      </w:r>
      <w:r w:rsidR="001A47D9" w:rsidRPr="00782A96">
        <w:rPr>
          <w:color w:val="000000" w:themeColor="text1"/>
          <w:szCs w:val="28"/>
        </w:rPr>
        <w:t xml:space="preserve">электронных </w:t>
      </w:r>
      <w:r w:rsidRPr="00782A96">
        <w:rPr>
          <w:color w:val="000000" w:themeColor="text1"/>
          <w:szCs w:val="28"/>
        </w:rPr>
        <w:t xml:space="preserve">терминалов, что по сравнению с аналогичной датой </w:t>
      </w:r>
      <w:r w:rsidR="001A47D9" w:rsidRPr="00782A96">
        <w:rPr>
          <w:color w:val="000000" w:themeColor="text1"/>
          <w:szCs w:val="28"/>
        </w:rPr>
        <w:t>прошлого</w:t>
      </w:r>
      <w:r w:rsidRPr="00782A96">
        <w:rPr>
          <w:color w:val="000000" w:themeColor="text1"/>
          <w:szCs w:val="28"/>
        </w:rPr>
        <w:t xml:space="preserve"> года больше на </w:t>
      </w:r>
      <w:r w:rsidR="001A47D9" w:rsidRPr="00782A96">
        <w:rPr>
          <w:color w:val="000000" w:themeColor="text1"/>
          <w:szCs w:val="28"/>
        </w:rPr>
        <w:t>7</w:t>
      </w:r>
      <w:r w:rsidRPr="00782A96">
        <w:rPr>
          <w:color w:val="000000" w:themeColor="text1"/>
          <w:szCs w:val="28"/>
        </w:rPr>
        <w:t>,2 процента</w:t>
      </w:r>
      <w:r w:rsidR="0097727C" w:rsidRPr="00782A96">
        <w:rPr>
          <w:color w:val="000000" w:themeColor="text1"/>
          <w:szCs w:val="28"/>
        </w:rPr>
        <w:t xml:space="preserve"> </w:t>
      </w:r>
      <w:r w:rsidR="0097727C" w:rsidRPr="00782A96">
        <w:rPr>
          <w:rFonts w:cs="Times New Roman"/>
          <w:szCs w:val="28"/>
        </w:rPr>
        <w:t>(833 единицы)</w:t>
      </w:r>
      <w:r w:rsidRPr="00782A96">
        <w:rPr>
          <w:color w:val="000000" w:themeColor="text1"/>
          <w:szCs w:val="28"/>
        </w:rPr>
        <w:t xml:space="preserve">. </w:t>
      </w:r>
      <w:r w:rsidR="0097727C" w:rsidRPr="00782A96">
        <w:rPr>
          <w:rFonts w:cs="Times New Roman"/>
          <w:szCs w:val="28"/>
        </w:rPr>
        <w:t xml:space="preserve">Из общего количества терминалов 5659 предназначены непосредственно для приема безналичных платежей за государственные услуги, </w:t>
      </w:r>
      <w:r w:rsidR="00E83489">
        <w:rPr>
          <w:rFonts w:cs="Times New Roman"/>
          <w:szCs w:val="28"/>
        </w:rPr>
        <w:t xml:space="preserve">что </w:t>
      </w:r>
      <w:r w:rsidR="00E83489" w:rsidRPr="00782A96">
        <w:rPr>
          <w:rFonts w:cs="Times New Roman"/>
          <w:szCs w:val="28"/>
        </w:rPr>
        <w:t>на 6,9 процента (365 единиц</w:t>
      </w:r>
      <w:r w:rsidR="00E83489">
        <w:rPr>
          <w:rFonts w:cs="Times New Roman"/>
          <w:szCs w:val="28"/>
        </w:rPr>
        <w:t>) больше</w:t>
      </w:r>
      <w:r w:rsidR="00A25F5A" w:rsidRPr="00782A96">
        <w:rPr>
          <w:rFonts w:cs="Times New Roman"/>
          <w:szCs w:val="28"/>
        </w:rPr>
        <w:t xml:space="preserve"> по сравнению с прошлым годом</w:t>
      </w:r>
      <w:r w:rsidR="00E83489">
        <w:rPr>
          <w:rFonts w:cs="Times New Roman"/>
          <w:szCs w:val="28"/>
        </w:rPr>
        <w:t>.</w:t>
      </w:r>
      <w:r w:rsidR="0097727C" w:rsidRPr="00782A96">
        <w:rPr>
          <w:rFonts w:cs="Times New Roman"/>
          <w:szCs w:val="28"/>
        </w:rPr>
        <w:t xml:space="preserve"> </w:t>
      </w:r>
    </w:p>
    <w:p w14:paraId="7F898C37" w14:textId="77777777" w:rsidR="005F08D7" w:rsidRPr="00782A96" w:rsidRDefault="00A25F5A" w:rsidP="00D2501D">
      <w:pPr>
        <w:tabs>
          <w:tab w:val="left" w:pos="9498"/>
        </w:tabs>
        <w:spacing w:line="288" w:lineRule="auto"/>
        <w:ind w:firstLine="709"/>
        <w:jc w:val="both"/>
        <w:rPr>
          <w:szCs w:val="28"/>
        </w:rPr>
      </w:pPr>
      <w:r w:rsidRPr="00782A96">
        <w:rPr>
          <w:color w:val="000000" w:themeColor="text1"/>
          <w:szCs w:val="28"/>
        </w:rPr>
        <w:t>В</w:t>
      </w:r>
      <w:r w:rsidR="00D86F0C" w:rsidRPr="00782A96">
        <w:rPr>
          <w:color w:val="000000" w:themeColor="text1"/>
          <w:szCs w:val="28"/>
        </w:rPr>
        <w:t xml:space="preserve"> предприятиях торговли и сервиса </w:t>
      </w:r>
      <w:r w:rsidR="00D2501D" w:rsidRPr="00782A96">
        <w:rPr>
          <w:color w:val="000000" w:themeColor="text1"/>
          <w:szCs w:val="28"/>
        </w:rPr>
        <w:t xml:space="preserve">республики </w:t>
      </w:r>
      <w:r w:rsidR="00D86F0C" w:rsidRPr="00782A96">
        <w:rPr>
          <w:color w:val="000000" w:themeColor="text1"/>
          <w:szCs w:val="28"/>
        </w:rPr>
        <w:t xml:space="preserve">было установлено </w:t>
      </w:r>
      <w:r w:rsidR="00E83489">
        <w:rPr>
          <w:color w:val="000000" w:themeColor="text1"/>
          <w:szCs w:val="28"/>
        </w:rPr>
        <w:t>25 388</w:t>
      </w:r>
      <w:r w:rsidR="00D86F0C" w:rsidRPr="00782A96">
        <w:rPr>
          <w:color w:val="000000" w:themeColor="text1"/>
          <w:szCs w:val="28"/>
        </w:rPr>
        <w:t xml:space="preserve"> тыс. </w:t>
      </w:r>
      <w:r w:rsidR="00D2501D" w:rsidRPr="00782A96">
        <w:rPr>
          <w:color w:val="000000" w:themeColor="text1"/>
          <w:szCs w:val="28"/>
        </w:rPr>
        <w:t xml:space="preserve">единых </w:t>
      </w:r>
      <w:r w:rsidR="00D86F0C" w:rsidRPr="00782A96">
        <w:rPr>
          <w:szCs w:val="28"/>
          <w:lang w:val="en-US"/>
        </w:rPr>
        <w:t>QR</w:t>
      </w:r>
      <w:r w:rsidR="00D86F0C" w:rsidRPr="00782A96">
        <w:rPr>
          <w:szCs w:val="28"/>
        </w:rPr>
        <w:t xml:space="preserve"> – кодов</w:t>
      </w:r>
      <w:r w:rsidR="00D2501D" w:rsidRPr="00782A96">
        <w:rPr>
          <w:szCs w:val="28"/>
        </w:rPr>
        <w:t>,</w:t>
      </w:r>
      <w:r w:rsidR="00467FD1" w:rsidRPr="00782A96">
        <w:rPr>
          <w:rFonts w:cs="Times New Roman"/>
          <w:szCs w:val="28"/>
        </w:rPr>
        <w:t xml:space="preserve"> что на 54,1</w:t>
      </w:r>
      <w:r w:rsidR="00D2501D" w:rsidRPr="00782A96">
        <w:rPr>
          <w:rFonts w:cs="Times New Roman"/>
          <w:szCs w:val="28"/>
        </w:rPr>
        <w:t xml:space="preserve"> процента</w:t>
      </w:r>
      <w:r w:rsidR="00467FD1" w:rsidRPr="00782A96">
        <w:rPr>
          <w:rFonts w:cs="Times New Roman"/>
          <w:szCs w:val="28"/>
        </w:rPr>
        <w:t xml:space="preserve"> (8 916 </w:t>
      </w:r>
      <w:r w:rsidR="00D2501D" w:rsidRPr="00782A96">
        <w:rPr>
          <w:rFonts w:cs="Times New Roman"/>
          <w:szCs w:val="28"/>
        </w:rPr>
        <w:t>единиц</w:t>
      </w:r>
      <w:r w:rsidR="00467FD1" w:rsidRPr="00782A96">
        <w:rPr>
          <w:rFonts w:cs="Times New Roman"/>
          <w:szCs w:val="28"/>
        </w:rPr>
        <w:t>) больше, чем на аналогичную дату прошлого года. Из общего количества QR-кодов</w:t>
      </w:r>
      <w:r w:rsidR="005F08D7" w:rsidRPr="00782A96">
        <w:rPr>
          <w:rFonts w:cs="Times New Roman"/>
          <w:szCs w:val="28"/>
        </w:rPr>
        <w:t xml:space="preserve"> </w:t>
      </w:r>
      <w:r w:rsidR="00467FD1" w:rsidRPr="00782A96">
        <w:rPr>
          <w:rFonts w:cs="Times New Roman"/>
          <w:szCs w:val="28"/>
        </w:rPr>
        <w:t>3 922 предназначены специально для приема платежей за платные государственные услуги, этот показатель увеличился на 44,4</w:t>
      </w:r>
      <w:r w:rsidR="00C169C9" w:rsidRPr="00782A96">
        <w:rPr>
          <w:rFonts w:cs="Times New Roman"/>
          <w:szCs w:val="28"/>
        </w:rPr>
        <w:t xml:space="preserve"> процента</w:t>
      </w:r>
      <w:r w:rsidR="00467FD1" w:rsidRPr="00782A96">
        <w:rPr>
          <w:rFonts w:cs="Times New Roman"/>
          <w:szCs w:val="28"/>
        </w:rPr>
        <w:t xml:space="preserve"> (1 205 </w:t>
      </w:r>
      <w:r w:rsidR="00C169C9" w:rsidRPr="00782A96">
        <w:rPr>
          <w:rFonts w:cs="Times New Roman"/>
          <w:szCs w:val="28"/>
        </w:rPr>
        <w:t>единиц</w:t>
      </w:r>
      <w:r w:rsidR="00467FD1" w:rsidRPr="00782A96">
        <w:rPr>
          <w:rFonts w:cs="Times New Roman"/>
          <w:szCs w:val="28"/>
        </w:rPr>
        <w:t>) по сравнению с предыдущим годом.</w:t>
      </w:r>
    </w:p>
    <w:p w14:paraId="5AD5098C" w14:textId="77777777" w:rsidR="005F08D7" w:rsidRPr="00782A96" w:rsidRDefault="00467FD1" w:rsidP="005F08D7">
      <w:pPr>
        <w:ind w:firstLine="708"/>
        <w:jc w:val="both"/>
        <w:rPr>
          <w:rFonts w:cs="Times New Roman"/>
          <w:szCs w:val="28"/>
        </w:rPr>
      </w:pPr>
      <w:r w:rsidRPr="00782A96">
        <w:rPr>
          <w:rFonts w:cs="Times New Roman"/>
          <w:szCs w:val="28"/>
        </w:rPr>
        <w:t>Кроме того, в стране установлено 7,6 тыс. автоматизированных терминалов самообслуживания для пополнения карточных счетов, оплаты товаров и услуг, а также предоставления других банковских услуг.</w:t>
      </w:r>
    </w:p>
    <w:p w14:paraId="39DC2B88" w14:textId="192D87A7" w:rsidR="000B0841" w:rsidRPr="00782A96" w:rsidRDefault="004A5545" w:rsidP="005F08D7">
      <w:pPr>
        <w:ind w:firstLine="708"/>
        <w:jc w:val="both"/>
        <w:rPr>
          <w:rFonts w:cs="Times New Roman"/>
          <w:szCs w:val="28"/>
        </w:rPr>
      </w:pPr>
      <w:r w:rsidRPr="00C972D5">
        <w:rPr>
          <w:rFonts w:cs="Times New Roman"/>
          <w:szCs w:val="28"/>
        </w:rPr>
        <w:t xml:space="preserve">За январь-июнь месяцы 2025 года </w:t>
      </w:r>
      <w:r w:rsidRPr="00C972D5">
        <w:rPr>
          <w:szCs w:val="28"/>
          <w:lang w:val="tg-Cyrl-TJ"/>
        </w:rPr>
        <w:t xml:space="preserve">посредством электронных платёжных средств </w:t>
      </w:r>
      <w:r w:rsidRPr="00C972D5">
        <w:rPr>
          <w:color w:val="000000" w:themeColor="text1"/>
          <w:szCs w:val="28"/>
          <w:lang w:val="tg-Cyrl-TJ"/>
        </w:rPr>
        <w:t>(</w:t>
      </w:r>
      <w:r w:rsidR="000B0841" w:rsidRPr="00C972D5">
        <w:rPr>
          <w:color w:val="000000" w:themeColor="text1"/>
          <w:szCs w:val="28"/>
          <w:lang w:val="tg-Cyrl-TJ"/>
        </w:rPr>
        <w:t xml:space="preserve">банковских </w:t>
      </w:r>
      <w:r w:rsidRPr="00C972D5">
        <w:rPr>
          <w:color w:val="000000" w:themeColor="text1"/>
          <w:szCs w:val="28"/>
          <w:lang w:val="tg-Cyrl-TJ"/>
        </w:rPr>
        <w:t>платёжных карт и электронных кошельков) было совершено</w:t>
      </w:r>
      <w:r w:rsidR="0021140F" w:rsidRPr="00C972D5">
        <w:rPr>
          <w:color w:val="000000" w:themeColor="text1"/>
          <w:szCs w:val="28"/>
          <w:lang w:val="tg-Cyrl-TJ"/>
        </w:rPr>
        <w:t xml:space="preserve"> </w:t>
      </w:r>
      <w:r w:rsidR="0021140F" w:rsidRPr="00C972D5">
        <w:rPr>
          <w:color w:val="000000" w:themeColor="text1"/>
          <w:szCs w:val="28"/>
        </w:rPr>
        <w:t xml:space="preserve">56,3 </w:t>
      </w:r>
      <w:r w:rsidR="0021140F" w:rsidRPr="00C972D5">
        <w:rPr>
          <w:color w:val="000000" w:themeColor="text1"/>
          <w:szCs w:val="28"/>
          <w:lang w:val="tg-Cyrl-TJ"/>
        </w:rPr>
        <w:t>млн</w:t>
      </w:r>
      <w:r w:rsidRPr="00C972D5">
        <w:rPr>
          <w:color w:val="000000" w:themeColor="text1"/>
          <w:szCs w:val="28"/>
          <w:lang w:val="tg-Cyrl-TJ"/>
        </w:rPr>
        <w:t xml:space="preserve"> безналичных операций на сумму 1</w:t>
      </w:r>
      <w:r w:rsidR="000B0841" w:rsidRPr="00C972D5">
        <w:rPr>
          <w:color w:val="000000" w:themeColor="text1"/>
          <w:szCs w:val="28"/>
          <w:lang w:val="tg-Cyrl-TJ"/>
        </w:rPr>
        <w:t>9</w:t>
      </w:r>
      <w:r w:rsidRPr="00C972D5">
        <w:rPr>
          <w:color w:val="000000" w:themeColor="text1"/>
          <w:szCs w:val="28"/>
          <w:lang w:val="tg-Cyrl-TJ"/>
        </w:rPr>
        <w:t>,</w:t>
      </w:r>
      <w:r w:rsidR="000B0841" w:rsidRPr="00C972D5">
        <w:rPr>
          <w:color w:val="000000" w:themeColor="text1"/>
          <w:szCs w:val="28"/>
          <w:lang w:val="tg-Cyrl-TJ"/>
        </w:rPr>
        <w:t>4</w:t>
      </w:r>
      <w:r w:rsidR="0081572A" w:rsidRPr="00C972D5">
        <w:rPr>
          <w:color w:val="000000" w:themeColor="text1"/>
          <w:szCs w:val="28"/>
          <w:lang w:val="tg-Cyrl-TJ"/>
        </w:rPr>
        <w:t xml:space="preserve"> млрд сомони,</w:t>
      </w:r>
      <w:r w:rsidRPr="00C972D5">
        <w:rPr>
          <w:color w:val="000000" w:themeColor="text1"/>
          <w:szCs w:val="28"/>
          <w:lang w:val="tg-Cyrl-TJ"/>
        </w:rPr>
        <w:t xml:space="preserve"> </w:t>
      </w:r>
      <w:r w:rsidR="0081572A" w:rsidRPr="00C972D5">
        <w:rPr>
          <w:rFonts w:cs="Times New Roman"/>
          <w:szCs w:val="28"/>
        </w:rPr>
        <w:t>что на 34,9 процента по количеству и на 51,0 процента</w:t>
      </w:r>
      <w:r w:rsidR="0021140F" w:rsidRPr="00C972D5">
        <w:rPr>
          <w:rFonts w:cs="Times New Roman"/>
          <w:szCs w:val="28"/>
          <w:lang w:val="tg-Cyrl-TJ"/>
        </w:rPr>
        <w:t xml:space="preserve"> </w:t>
      </w:r>
      <w:r w:rsidR="0021140F" w:rsidRPr="00C972D5">
        <w:rPr>
          <w:rFonts w:cs="Times New Roman"/>
          <w:szCs w:val="28"/>
        </w:rPr>
        <w:t>больше</w:t>
      </w:r>
      <w:r w:rsidR="0081572A" w:rsidRPr="00C972D5">
        <w:rPr>
          <w:rFonts w:cs="Times New Roman"/>
          <w:szCs w:val="28"/>
        </w:rPr>
        <w:t xml:space="preserve"> по объему операций по сравнению с аналогичным периодом 2024 года.</w:t>
      </w:r>
    </w:p>
    <w:p w14:paraId="4E7EDAEB" w14:textId="77777777" w:rsidR="00467FD1" w:rsidRPr="00782A96" w:rsidRDefault="00806F5E" w:rsidP="00806F5E">
      <w:pPr>
        <w:ind w:firstLine="708"/>
        <w:jc w:val="both"/>
        <w:rPr>
          <w:szCs w:val="28"/>
        </w:rPr>
      </w:pPr>
      <w:r w:rsidRPr="00782A96">
        <w:rPr>
          <w:color w:val="000000" w:themeColor="text1"/>
          <w:szCs w:val="28"/>
        </w:rPr>
        <w:lastRenderedPageBreak/>
        <w:t xml:space="preserve">За первое полугодие текущего года соотношение операций снятия наличных денег и операций безналичных платежей за товары и услуги с использованием электронных платежных средств </w:t>
      </w:r>
      <w:r w:rsidRPr="00782A96">
        <w:rPr>
          <w:szCs w:val="28"/>
        </w:rPr>
        <w:t>составило 71,8 процента к 28,2 процентам, и доля безналичных операций по сравнению с аналогичным периодом прошлого года увеличилась на             3,2 процентных пункта.</w:t>
      </w:r>
    </w:p>
    <w:p w14:paraId="73A15364" w14:textId="77777777" w:rsidR="00467FD1" w:rsidRPr="00782A96" w:rsidRDefault="00467FD1" w:rsidP="00FF1E93">
      <w:pPr>
        <w:jc w:val="center"/>
        <w:rPr>
          <w:rFonts w:cs="Times New Roman"/>
          <w:b/>
          <w:szCs w:val="28"/>
        </w:rPr>
      </w:pPr>
      <w:r w:rsidRPr="00782A96">
        <w:rPr>
          <w:rFonts w:cs="Times New Roman"/>
          <w:b/>
          <w:szCs w:val="28"/>
        </w:rPr>
        <w:t>СТРАХОВАЯ СИСТЕМА</w:t>
      </w:r>
    </w:p>
    <w:p w14:paraId="0F09245C" w14:textId="77777777" w:rsidR="00097656" w:rsidRPr="00782A96" w:rsidRDefault="00097656" w:rsidP="00097656">
      <w:pPr>
        <w:tabs>
          <w:tab w:val="left" w:pos="9498"/>
        </w:tabs>
        <w:spacing w:after="120" w:line="288" w:lineRule="auto"/>
        <w:ind w:firstLine="709"/>
        <w:jc w:val="both"/>
        <w:rPr>
          <w:color w:val="000000" w:themeColor="text1"/>
          <w:szCs w:val="28"/>
          <w:lang w:val="tg-Cyrl-TJ"/>
        </w:rPr>
      </w:pPr>
      <w:r w:rsidRPr="00782A96">
        <w:rPr>
          <w:color w:val="000000" w:themeColor="text1"/>
          <w:szCs w:val="28"/>
          <w:lang w:val="tg-Cyrl-TJ"/>
        </w:rPr>
        <w:t>В стране за отчетный период населению предоставили страховые услуги 16 страховых организаций, в том числе 1 государственная страховая организация и 15</w:t>
      </w:r>
      <w:r w:rsidRPr="00782A96">
        <w:rPr>
          <w:b/>
          <w:color w:val="000000" w:themeColor="text1"/>
          <w:szCs w:val="28"/>
          <w:lang w:val="tg-Cyrl-TJ"/>
        </w:rPr>
        <w:t xml:space="preserve"> </w:t>
      </w:r>
      <w:r w:rsidRPr="00782A96">
        <w:rPr>
          <w:color w:val="000000" w:themeColor="text1"/>
          <w:szCs w:val="28"/>
          <w:lang w:val="tg-Cyrl-TJ"/>
        </w:rPr>
        <w:t xml:space="preserve">негосударственных страховых организаций с 66 филиалами. </w:t>
      </w:r>
    </w:p>
    <w:p w14:paraId="6CC488CE" w14:textId="77777777" w:rsidR="008B7695" w:rsidRPr="00782A96" w:rsidRDefault="008B7695" w:rsidP="008B7695">
      <w:pPr>
        <w:tabs>
          <w:tab w:val="left" w:pos="1560"/>
          <w:tab w:val="left" w:pos="9498"/>
        </w:tabs>
        <w:spacing w:after="120" w:line="288" w:lineRule="auto"/>
        <w:ind w:firstLine="709"/>
        <w:jc w:val="both"/>
        <w:rPr>
          <w:rFonts w:eastAsiaTheme="minorEastAsia"/>
          <w:szCs w:val="28"/>
          <w:lang w:val="tg-Cyrl-TJ"/>
        </w:rPr>
      </w:pPr>
      <w:r w:rsidRPr="00782A96">
        <w:rPr>
          <w:color w:val="000000" w:themeColor="text1"/>
          <w:szCs w:val="28"/>
          <w:lang w:val="tg-Cyrl-TJ"/>
        </w:rPr>
        <w:t>Подведение итогов деятельности системы страхования за первое полугодие 2025 года показало, что основные показатели сферы имели тенденцию роста, в том числе а</w:t>
      </w:r>
      <w:r w:rsidRPr="00782A96">
        <w:rPr>
          <w:rFonts w:eastAsiaTheme="minorEastAsia"/>
          <w:szCs w:val="28"/>
          <w:lang w:val="tg-Cyrl-TJ"/>
        </w:rPr>
        <w:t xml:space="preserve">ктивы системы по сравнению с аналогичным периодом прошлого года возросли на </w:t>
      </w:r>
      <w:r w:rsidRPr="00782A96">
        <w:rPr>
          <w:rFonts w:eastAsiaTheme="minorEastAsia"/>
          <w:szCs w:val="28"/>
          <w:lang w:val="tg-Cyrl-TJ"/>
        </w:rPr>
        <w:br/>
        <w:t>26,4 процента, собственный ка</w:t>
      </w:r>
      <w:r w:rsidRPr="00782A96">
        <w:rPr>
          <w:rFonts w:eastAsiaTheme="minorEastAsia"/>
          <w:color w:val="000000" w:themeColor="text1"/>
          <w:szCs w:val="28"/>
          <w:lang w:val="tg-Cyrl-TJ"/>
        </w:rPr>
        <w:t>пита</w:t>
      </w:r>
      <w:r w:rsidRPr="00782A96">
        <w:rPr>
          <w:rFonts w:eastAsiaTheme="minorEastAsia"/>
          <w:szCs w:val="28"/>
          <w:lang w:val="tg-Cyrl-TJ"/>
        </w:rPr>
        <w:t xml:space="preserve">л </w:t>
      </w:r>
      <w:r w:rsidR="00FD00DB" w:rsidRPr="00782A96">
        <w:rPr>
          <w:rFonts w:eastAsiaTheme="minorEastAsia"/>
          <w:szCs w:val="28"/>
          <w:lang w:val="tg-Cyrl-TJ"/>
        </w:rPr>
        <w:t>51</w:t>
      </w:r>
      <w:r w:rsidRPr="00782A96">
        <w:rPr>
          <w:rFonts w:eastAsiaTheme="minorEastAsia"/>
          <w:szCs w:val="28"/>
          <w:lang w:val="tg-Cyrl-TJ"/>
        </w:rPr>
        <w:t>,</w:t>
      </w:r>
      <w:r w:rsidR="00FD00DB" w:rsidRPr="00782A96">
        <w:rPr>
          <w:rFonts w:eastAsiaTheme="minorEastAsia"/>
          <w:szCs w:val="28"/>
          <w:lang w:val="tg-Cyrl-TJ"/>
        </w:rPr>
        <w:t>9</w:t>
      </w:r>
      <w:r w:rsidRPr="00782A96">
        <w:rPr>
          <w:rFonts w:eastAsiaTheme="minorEastAsia"/>
          <w:szCs w:val="28"/>
          <w:lang w:val="tg-Cyrl-TJ"/>
        </w:rPr>
        <w:t xml:space="preserve"> процента, уставный капитал </w:t>
      </w:r>
      <w:r w:rsidRPr="00782A96">
        <w:rPr>
          <w:rFonts w:eastAsiaTheme="minorEastAsia"/>
          <w:szCs w:val="28"/>
          <w:lang w:val="tg-Cyrl-TJ"/>
        </w:rPr>
        <w:br/>
      </w:r>
      <w:r w:rsidR="00FD00DB" w:rsidRPr="00782A96">
        <w:rPr>
          <w:rFonts w:eastAsiaTheme="minorEastAsia"/>
          <w:szCs w:val="28"/>
          <w:lang w:val="tg-Cyrl-TJ"/>
        </w:rPr>
        <w:t>33</w:t>
      </w:r>
      <w:r w:rsidRPr="00782A96">
        <w:rPr>
          <w:rFonts w:eastAsiaTheme="minorEastAsia"/>
          <w:szCs w:val="28"/>
          <w:lang w:val="tg-Cyrl-TJ"/>
        </w:rPr>
        <w:t>,</w:t>
      </w:r>
      <w:r w:rsidR="00FD00DB" w:rsidRPr="00782A96">
        <w:rPr>
          <w:rFonts w:eastAsiaTheme="minorEastAsia"/>
          <w:szCs w:val="28"/>
          <w:lang w:val="tg-Cyrl-TJ"/>
        </w:rPr>
        <w:t>9</w:t>
      </w:r>
      <w:r w:rsidRPr="00782A96">
        <w:rPr>
          <w:rFonts w:eastAsiaTheme="minorEastAsia"/>
          <w:szCs w:val="28"/>
          <w:lang w:val="tg-Cyrl-TJ"/>
        </w:rPr>
        <w:t xml:space="preserve"> процента, страховые выплаты и компенсации 31</w:t>
      </w:r>
      <w:r w:rsidR="00FD00DB" w:rsidRPr="00782A96">
        <w:rPr>
          <w:rFonts w:eastAsiaTheme="minorEastAsia"/>
          <w:szCs w:val="28"/>
          <w:lang w:val="tg-Cyrl-TJ"/>
        </w:rPr>
        <w:t>0</w:t>
      </w:r>
      <w:r w:rsidRPr="00782A96">
        <w:rPr>
          <w:rFonts w:eastAsiaTheme="minorEastAsia"/>
          <w:szCs w:val="28"/>
          <w:lang w:val="tg-Cyrl-TJ"/>
        </w:rPr>
        <w:t xml:space="preserve"> процента, инвестиции на </w:t>
      </w:r>
      <w:r w:rsidR="00FD00DB" w:rsidRPr="00782A96">
        <w:rPr>
          <w:rFonts w:eastAsiaTheme="minorEastAsia"/>
          <w:szCs w:val="28"/>
          <w:lang w:val="tg-Cyrl-TJ"/>
        </w:rPr>
        <w:t>13</w:t>
      </w:r>
      <w:r w:rsidRPr="00782A96">
        <w:rPr>
          <w:rFonts w:eastAsiaTheme="minorEastAsia"/>
          <w:szCs w:val="28"/>
          <w:lang w:val="tg-Cyrl-TJ"/>
        </w:rPr>
        <w:t>,</w:t>
      </w:r>
      <w:r w:rsidR="00FD00DB" w:rsidRPr="00782A96">
        <w:rPr>
          <w:rFonts w:eastAsiaTheme="minorEastAsia"/>
          <w:szCs w:val="28"/>
          <w:lang w:val="tg-Cyrl-TJ"/>
        </w:rPr>
        <w:t>9</w:t>
      </w:r>
      <w:r w:rsidRPr="00782A96">
        <w:rPr>
          <w:rFonts w:eastAsiaTheme="minorEastAsia"/>
          <w:szCs w:val="28"/>
          <w:lang w:val="tg-Cyrl-TJ"/>
        </w:rPr>
        <w:t xml:space="preserve"> процента, депозиты в кредитных финансовых </w:t>
      </w:r>
      <w:r w:rsidRPr="00782A96">
        <w:rPr>
          <w:rFonts w:eastAsiaTheme="minorEastAsia"/>
          <w:color w:val="000000" w:themeColor="text1"/>
          <w:szCs w:val="28"/>
          <w:lang w:val="tg-Cyrl-TJ"/>
        </w:rPr>
        <w:t xml:space="preserve">организациях на </w:t>
      </w:r>
      <w:r w:rsidR="001E1130" w:rsidRPr="00782A96">
        <w:rPr>
          <w:rFonts w:eastAsiaTheme="minorEastAsia"/>
          <w:color w:val="000000" w:themeColor="text1"/>
          <w:szCs w:val="28"/>
          <w:lang w:val="tg-Cyrl-TJ"/>
        </w:rPr>
        <w:t>14</w:t>
      </w:r>
      <w:r w:rsidRPr="00782A96">
        <w:rPr>
          <w:rFonts w:eastAsiaTheme="minorEastAsia"/>
          <w:szCs w:val="28"/>
          <w:lang w:val="tg-Cyrl-TJ"/>
        </w:rPr>
        <w:t>,</w:t>
      </w:r>
      <w:r w:rsidR="001E1130" w:rsidRPr="00782A96">
        <w:rPr>
          <w:rFonts w:eastAsiaTheme="minorEastAsia"/>
          <w:szCs w:val="28"/>
          <w:lang w:val="tg-Cyrl-TJ"/>
        </w:rPr>
        <w:t>8</w:t>
      </w:r>
      <w:r w:rsidRPr="00782A96">
        <w:rPr>
          <w:rFonts w:eastAsiaTheme="minorEastAsia"/>
          <w:szCs w:val="28"/>
          <w:lang w:val="tg-Cyrl-TJ"/>
        </w:rPr>
        <w:t xml:space="preserve"> процента и уплаченные  налоги </w:t>
      </w:r>
      <w:r w:rsidR="001E1130" w:rsidRPr="00782A96">
        <w:rPr>
          <w:rFonts w:eastAsiaTheme="minorEastAsia"/>
          <w:szCs w:val="28"/>
          <w:lang w:val="tg-Cyrl-TJ"/>
        </w:rPr>
        <w:t>47</w:t>
      </w:r>
      <w:r w:rsidRPr="00782A96">
        <w:rPr>
          <w:rFonts w:eastAsiaTheme="minorEastAsia"/>
          <w:szCs w:val="28"/>
          <w:lang w:val="tg-Cyrl-TJ"/>
        </w:rPr>
        <w:t>,</w:t>
      </w:r>
      <w:r w:rsidR="001E1130" w:rsidRPr="00782A96">
        <w:rPr>
          <w:rFonts w:eastAsiaTheme="minorEastAsia"/>
          <w:szCs w:val="28"/>
          <w:lang w:val="tg-Cyrl-TJ"/>
        </w:rPr>
        <w:t>5</w:t>
      </w:r>
      <w:r w:rsidRPr="00782A96">
        <w:rPr>
          <w:rFonts w:eastAsiaTheme="minorEastAsia"/>
          <w:szCs w:val="28"/>
          <w:lang w:val="tg-Cyrl-TJ"/>
        </w:rPr>
        <w:t xml:space="preserve"> процента.</w:t>
      </w:r>
    </w:p>
    <w:p w14:paraId="4AC12732" w14:textId="77777777" w:rsidR="00FF1E93" w:rsidRPr="00782A96" w:rsidRDefault="007E2E87" w:rsidP="00FF1E93">
      <w:pPr>
        <w:ind w:firstLine="708"/>
        <w:jc w:val="both"/>
        <w:rPr>
          <w:rFonts w:cs="Times New Roman"/>
          <w:szCs w:val="28"/>
        </w:rPr>
      </w:pPr>
      <w:r w:rsidRPr="00782A96">
        <w:rPr>
          <w:rFonts w:eastAsiaTheme="minorEastAsia"/>
          <w:szCs w:val="28"/>
          <w:lang w:val="tg-Cyrl-TJ"/>
        </w:rPr>
        <w:t xml:space="preserve">В общем, за отчетный период активы системы страхования по сравнению с первым полугодием 2024 года </w:t>
      </w:r>
      <w:r w:rsidR="00716471" w:rsidRPr="00782A96">
        <w:rPr>
          <w:rFonts w:eastAsiaTheme="minorEastAsia"/>
          <w:szCs w:val="28"/>
          <w:lang w:val="tg-Cyrl-TJ"/>
        </w:rPr>
        <w:t xml:space="preserve">увеличились на 26,4 процента, что составляет </w:t>
      </w:r>
      <w:r w:rsidR="00467FD1" w:rsidRPr="00782A96">
        <w:rPr>
          <w:rFonts w:cs="Times New Roman"/>
          <w:szCs w:val="28"/>
        </w:rPr>
        <w:t>1,7</w:t>
      </w:r>
      <w:r w:rsidR="00716471" w:rsidRPr="00782A96">
        <w:rPr>
          <w:rFonts w:cs="Times New Roman"/>
          <w:szCs w:val="28"/>
        </w:rPr>
        <w:t xml:space="preserve"> процента</w:t>
      </w:r>
      <w:r w:rsidR="00467FD1" w:rsidRPr="00782A96">
        <w:rPr>
          <w:rFonts w:cs="Times New Roman"/>
          <w:szCs w:val="28"/>
        </w:rPr>
        <w:t xml:space="preserve"> от объема финансовой системы.</w:t>
      </w:r>
    </w:p>
    <w:p w14:paraId="6F09736A" w14:textId="77777777" w:rsidR="00716471" w:rsidRPr="00782A96" w:rsidRDefault="00E1799B" w:rsidP="00FF1E93">
      <w:pPr>
        <w:ind w:firstLine="708"/>
        <w:jc w:val="both"/>
        <w:rPr>
          <w:rFonts w:cs="Times New Roman"/>
          <w:szCs w:val="28"/>
        </w:rPr>
      </w:pPr>
      <w:r w:rsidRPr="00782A96">
        <w:rPr>
          <w:color w:val="000000" w:themeColor="text1"/>
          <w:szCs w:val="28"/>
          <w:lang w:val="tg-Cyrl-TJ"/>
        </w:rPr>
        <w:t xml:space="preserve">Общее количество договоров, заключенных страховыми организациями за первое полугодие 2025 года, достигло </w:t>
      </w:r>
      <w:r w:rsidR="00314CAD" w:rsidRPr="00782A96">
        <w:rPr>
          <w:color w:val="000000" w:themeColor="text1"/>
          <w:szCs w:val="28"/>
          <w:lang w:val="tg-Cyrl-TJ"/>
        </w:rPr>
        <w:t xml:space="preserve">более </w:t>
      </w:r>
      <w:r w:rsidRPr="00782A96">
        <w:rPr>
          <w:color w:val="000000" w:themeColor="text1"/>
          <w:szCs w:val="28"/>
          <w:lang w:val="tg-Cyrl-TJ"/>
        </w:rPr>
        <w:t>1,1 млн</w:t>
      </w:r>
      <w:r w:rsidR="00314CAD" w:rsidRPr="00782A96">
        <w:rPr>
          <w:color w:val="000000" w:themeColor="text1"/>
          <w:szCs w:val="28"/>
          <w:lang w:val="tg-Cyrl-TJ"/>
        </w:rPr>
        <w:t xml:space="preserve"> единиц.</w:t>
      </w:r>
    </w:p>
    <w:p w14:paraId="589DA9EF" w14:textId="77777777" w:rsidR="00467FD1" w:rsidRPr="00782A96" w:rsidRDefault="00334F81" w:rsidP="00814B38">
      <w:pPr>
        <w:ind w:firstLine="708"/>
        <w:jc w:val="both"/>
        <w:rPr>
          <w:szCs w:val="28"/>
          <w:lang w:val="tg-Cyrl-TJ"/>
        </w:rPr>
      </w:pPr>
      <w:r w:rsidRPr="00782A96">
        <w:rPr>
          <w:color w:val="000000" w:themeColor="text1"/>
          <w:szCs w:val="28"/>
          <w:lang w:val="tg-Cyrl-TJ"/>
        </w:rPr>
        <w:t>Показате</w:t>
      </w:r>
      <w:r w:rsidR="00F438A7">
        <w:rPr>
          <w:color w:val="000000" w:themeColor="text1"/>
          <w:szCs w:val="28"/>
          <w:lang w:val="tg-Cyrl-TJ"/>
        </w:rPr>
        <w:t xml:space="preserve">ль рентабельности активов (ROA) </w:t>
      </w:r>
      <w:r w:rsidRPr="00782A96">
        <w:rPr>
          <w:color w:val="000000" w:themeColor="text1"/>
          <w:szCs w:val="28"/>
          <w:lang w:val="tg-Cyrl-TJ"/>
        </w:rPr>
        <w:t xml:space="preserve">страховых организаций </w:t>
      </w:r>
      <w:r w:rsidR="003E59A2" w:rsidRPr="00782A96">
        <w:rPr>
          <w:color w:val="000000" w:themeColor="text1"/>
          <w:szCs w:val="28"/>
          <w:lang w:val="tt-RU"/>
        </w:rPr>
        <w:t>за</w:t>
      </w:r>
      <w:r w:rsidRPr="00782A96">
        <w:rPr>
          <w:color w:val="000000" w:themeColor="text1"/>
          <w:szCs w:val="28"/>
          <w:lang w:val="tt-RU"/>
        </w:rPr>
        <w:t xml:space="preserve"> отчетн</w:t>
      </w:r>
      <w:r w:rsidR="003E59A2" w:rsidRPr="00782A96">
        <w:rPr>
          <w:color w:val="000000" w:themeColor="text1"/>
          <w:szCs w:val="28"/>
          <w:lang w:val="tt-RU"/>
        </w:rPr>
        <w:t>ый</w:t>
      </w:r>
      <w:r w:rsidRPr="00782A96">
        <w:rPr>
          <w:color w:val="000000" w:themeColor="text1"/>
          <w:szCs w:val="28"/>
          <w:lang w:val="tt-RU"/>
        </w:rPr>
        <w:t xml:space="preserve"> период составил </w:t>
      </w:r>
      <w:r w:rsidR="003E59A2" w:rsidRPr="00782A96">
        <w:rPr>
          <w:color w:val="000000" w:themeColor="text1"/>
          <w:szCs w:val="28"/>
          <w:lang w:val="tt-RU"/>
        </w:rPr>
        <w:t>9</w:t>
      </w:r>
      <w:r w:rsidRPr="00782A96">
        <w:rPr>
          <w:color w:val="000000" w:themeColor="text1"/>
          <w:szCs w:val="28"/>
          <w:lang w:val="tg-Cyrl-TJ"/>
        </w:rPr>
        <w:t>,</w:t>
      </w:r>
      <w:r w:rsidR="003E59A2" w:rsidRPr="00782A96">
        <w:rPr>
          <w:color w:val="000000" w:themeColor="text1"/>
          <w:szCs w:val="28"/>
          <w:lang w:val="tg-Cyrl-TJ"/>
        </w:rPr>
        <w:t>0</w:t>
      </w:r>
      <w:r w:rsidRPr="00782A96">
        <w:rPr>
          <w:color w:val="000000" w:themeColor="text1"/>
          <w:szCs w:val="28"/>
          <w:lang w:val="tg-Cyrl-TJ"/>
        </w:rPr>
        <w:t xml:space="preserve"> процента, а показатель рентабельности капитала (ROE) –</w:t>
      </w:r>
      <w:r w:rsidRPr="00782A96">
        <w:rPr>
          <w:color w:val="FF0000"/>
          <w:szCs w:val="28"/>
          <w:lang w:val="tg-Cyrl-TJ"/>
        </w:rPr>
        <w:t xml:space="preserve"> </w:t>
      </w:r>
      <w:r w:rsidRPr="00782A96">
        <w:rPr>
          <w:szCs w:val="28"/>
          <w:lang w:val="tg-Cyrl-TJ"/>
        </w:rPr>
        <w:t>1</w:t>
      </w:r>
      <w:r w:rsidR="003E59A2" w:rsidRPr="00782A96">
        <w:rPr>
          <w:szCs w:val="28"/>
          <w:lang w:val="tg-Cyrl-TJ"/>
        </w:rPr>
        <w:t>3</w:t>
      </w:r>
      <w:r w:rsidRPr="00782A96">
        <w:rPr>
          <w:szCs w:val="28"/>
          <w:lang w:val="tg-Cyrl-TJ"/>
        </w:rPr>
        <w:t>,</w:t>
      </w:r>
      <w:r w:rsidR="003E59A2" w:rsidRPr="00782A96">
        <w:rPr>
          <w:szCs w:val="28"/>
          <w:lang w:val="tg-Cyrl-TJ"/>
        </w:rPr>
        <w:t>7</w:t>
      </w:r>
      <w:r w:rsidRPr="00782A96">
        <w:rPr>
          <w:szCs w:val="28"/>
          <w:lang w:val="tg-Cyrl-TJ"/>
        </w:rPr>
        <w:t xml:space="preserve"> процента, что по сравнению с аналогичным периодом прошлого года соответственно больше на </w:t>
      </w:r>
      <w:r w:rsidR="003E59A2" w:rsidRPr="00782A96">
        <w:rPr>
          <w:szCs w:val="28"/>
          <w:lang w:val="tg-Cyrl-TJ"/>
        </w:rPr>
        <w:t>1,4</w:t>
      </w:r>
      <w:r w:rsidRPr="00782A96">
        <w:rPr>
          <w:szCs w:val="28"/>
          <w:lang w:val="tg-Cyrl-TJ"/>
        </w:rPr>
        <w:t xml:space="preserve"> и </w:t>
      </w:r>
      <w:r w:rsidR="003E59A2" w:rsidRPr="00782A96">
        <w:rPr>
          <w:szCs w:val="28"/>
          <w:lang w:val="tg-Cyrl-TJ"/>
        </w:rPr>
        <w:t>5</w:t>
      </w:r>
      <w:r w:rsidRPr="00782A96">
        <w:rPr>
          <w:szCs w:val="28"/>
          <w:lang w:val="tg-Cyrl-TJ"/>
        </w:rPr>
        <w:t>,</w:t>
      </w:r>
      <w:r w:rsidR="003E59A2" w:rsidRPr="00782A96">
        <w:rPr>
          <w:szCs w:val="28"/>
          <w:lang w:val="tg-Cyrl-TJ"/>
        </w:rPr>
        <w:t>5</w:t>
      </w:r>
      <w:r w:rsidRPr="00782A96">
        <w:rPr>
          <w:szCs w:val="28"/>
          <w:lang w:val="tg-Cyrl-TJ"/>
        </w:rPr>
        <w:t xml:space="preserve"> процентных пунктов.</w:t>
      </w:r>
    </w:p>
    <w:p w14:paraId="5A27CEAD" w14:textId="77777777" w:rsidR="000440DB" w:rsidRDefault="000440DB" w:rsidP="00FF1E93">
      <w:pPr>
        <w:jc w:val="center"/>
        <w:rPr>
          <w:rFonts w:cs="Times New Roman"/>
          <w:b/>
          <w:szCs w:val="28"/>
        </w:rPr>
      </w:pPr>
    </w:p>
    <w:p w14:paraId="338D1C8D" w14:textId="00C329D0" w:rsidR="00467FD1" w:rsidRPr="00782A96" w:rsidRDefault="00467FD1" w:rsidP="00FF1E93">
      <w:pPr>
        <w:jc w:val="center"/>
        <w:rPr>
          <w:rFonts w:cs="Times New Roman"/>
          <w:b/>
          <w:szCs w:val="28"/>
        </w:rPr>
      </w:pPr>
      <w:r w:rsidRPr="00782A96">
        <w:rPr>
          <w:rFonts w:cs="Times New Roman"/>
          <w:b/>
          <w:szCs w:val="28"/>
        </w:rPr>
        <w:lastRenderedPageBreak/>
        <w:t>ОБРАЩЕНИЯ ГРАЖДАН</w:t>
      </w:r>
    </w:p>
    <w:p w14:paraId="478D282F" w14:textId="77777777" w:rsidR="00FF1E93" w:rsidRPr="00782A96" w:rsidRDefault="00814B38" w:rsidP="00814B38">
      <w:pPr>
        <w:ind w:firstLine="360"/>
        <w:jc w:val="both"/>
        <w:rPr>
          <w:rFonts w:cs="Times New Roman"/>
          <w:szCs w:val="28"/>
        </w:rPr>
      </w:pPr>
      <w:r w:rsidRPr="00782A96">
        <w:rPr>
          <w:szCs w:val="28"/>
        </w:rPr>
        <w:t>Национальный банк Таджикистана осуществляет постоянный и контроль соблюдения и исполнения требований Закона Республики Таджикистан «</w:t>
      </w:r>
      <w:r w:rsidR="00467FD1" w:rsidRPr="00782A96">
        <w:rPr>
          <w:rFonts w:cs="Times New Roman"/>
          <w:szCs w:val="28"/>
        </w:rPr>
        <w:t>Об обращениях физических и юридических лиц», созданы благоприятные условия для приема обращений в письменной, устной, электронной форме и по телефону доверия.</w:t>
      </w:r>
    </w:p>
    <w:p w14:paraId="0D4B808C" w14:textId="77777777" w:rsidR="00801AA2" w:rsidRPr="00782A96" w:rsidRDefault="00E01720" w:rsidP="00814B38">
      <w:pPr>
        <w:ind w:firstLine="360"/>
        <w:jc w:val="both"/>
        <w:rPr>
          <w:rFonts w:cs="Times New Roman"/>
          <w:szCs w:val="28"/>
        </w:rPr>
      </w:pPr>
      <w:r w:rsidRPr="00782A96">
        <w:rPr>
          <w:szCs w:val="28"/>
        </w:rPr>
        <w:t xml:space="preserve">За отчетный период в Национальный банк Таджикистана поступило </w:t>
      </w:r>
      <w:r w:rsidR="00731BF3" w:rsidRPr="00782A96">
        <w:rPr>
          <w:szCs w:val="28"/>
        </w:rPr>
        <w:t>907</w:t>
      </w:r>
      <w:r w:rsidRPr="00782A96">
        <w:rPr>
          <w:szCs w:val="28"/>
        </w:rPr>
        <w:t xml:space="preserve"> обращени</w:t>
      </w:r>
      <w:r w:rsidR="00731BF3" w:rsidRPr="00782A96">
        <w:rPr>
          <w:szCs w:val="28"/>
        </w:rPr>
        <w:t>й</w:t>
      </w:r>
      <w:r w:rsidRPr="00782A96">
        <w:rPr>
          <w:szCs w:val="28"/>
        </w:rPr>
        <w:t xml:space="preserve">, </w:t>
      </w:r>
      <w:r w:rsidR="00731BF3" w:rsidRPr="00782A96">
        <w:rPr>
          <w:szCs w:val="28"/>
        </w:rPr>
        <w:t>из которых</w:t>
      </w:r>
      <w:r w:rsidRPr="00782A96">
        <w:rPr>
          <w:szCs w:val="28"/>
        </w:rPr>
        <w:t xml:space="preserve"> 4</w:t>
      </w:r>
      <w:r w:rsidR="00731BF3" w:rsidRPr="00782A96">
        <w:rPr>
          <w:szCs w:val="28"/>
        </w:rPr>
        <w:t>88</w:t>
      </w:r>
      <w:r w:rsidRPr="00782A96">
        <w:rPr>
          <w:szCs w:val="28"/>
        </w:rPr>
        <w:t xml:space="preserve"> обращений через телефон доверия, 2</w:t>
      </w:r>
      <w:r w:rsidR="00731BF3" w:rsidRPr="00782A96">
        <w:rPr>
          <w:szCs w:val="28"/>
        </w:rPr>
        <w:t>15</w:t>
      </w:r>
      <w:r w:rsidRPr="00782A96">
        <w:rPr>
          <w:szCs w:val="28"/>
        </w:rPr>
        <w:t xml:space="preserve"> обращений при </w:t>
      </w:r>
      <w:r w:rsidR="00833BC2" w:rsidRPr="00782A96">
        <w:rPr>
          <w:szCs w:val="28"/>
        </w:rPr>
        <w:t>личном приёме (</w:t>
      </w:r>
      <w:r w:rsidRPr="00782A96">
        <w:rPr>
          <w:szCs w:val="28"/>
        </w:rPr>
        <w:t>приёме граждан</w:t>
      </w:r>
      <w:r w:rsidR="00833BC2" w:rsidRPr="00782A96">
        <w:rPr>
          <w:szCs w:val="28"/>
        </w:rPr>
        <w:t>)</w:t>
      </w:r>
      <w:r w:rsidRPr="00782A96">
        <w:rPr>
          <w:szCs w:val="28"/>
        </w:rPr>
        <w:t>, 1</w:t>
      </w:r>
      <w:r w:rsidR="00833BC2" w:rsidRPr="00782A96">
        <w:rPr>
          <w:szCs w:val="28"/>
        </w:rPr>
        <w:t>87</w:t>
      </w:r>
      <w:r w:rsidRPr="00782A96">
        <w:rPr>
          <w:szCs w:val="28"/>
        </w:rPr>
        <w:t xml:space="preserve"> </w:t>
      </w:r>
      <w:r w:rsidR="00833BC2" w:rsidRPr="00782A96">
        <w:rPr>
          <w:szCs w:val="28"/>
        </w:rPr>
        <w:t>обращений в</w:t>
      </w:r>
      <w:r w:rsidRPr="00782A96">
        <w:rPr>
          <w:szCs w:val="28"/>
        </w:rPr>
        <w:t xml:space="preserve"> письменной форме (заявления) и 1</w:t>
      </w:r>
      <w:r w:rsidR="00833BC2" w:rsidRPr="00782A96">
        <w:rPr>
          <w:szCs w:val="28"/>
        </w:rPr>
        <w:t>7</w:t>
      </w:r>
      <w:r w:rsidRPr="00782A96">
        <w:rPr>
          <w:szCs w:val="28"/>
        </w:rPr>
        <w:t xml:space="preserve"> обращений через электронную почту</w:t>
      </w:r>
      <w:r w:rsidR="00833BC2" w:rsidRPr="00782A96">
        <w:rPr>
          <w:szCs w:val="28"/>
        </w:rPr>
        <w:t>.</w:t>
      </w:r>
    </w:p>
    <w:p w14:paraId="248F3CCC" w14:textId="77777777" w:rsidR="006E0DBD" w:rsidRPr="00782A96" w:rsidRDefault="00467FD1" w:rsidP="006E0DBD">
      <w:pPr>
        <w:ind w:firstLine="708"/>
        <w:jc w:val="both"/>
        <w:rPr>
          <w:szCs w:val="28"/>
        </w:rPr>
      </w:pPr>
      <w:r w:rsidRPr="00782A96">
        <w:rPr>
          <w:rFonts w:cs="Times New Roman"/>
          <w:szCs w:val="28"/>
        </w:rPr>
        <w:t>Поступившие обращения в основном касались вопросов, связанных с кредитованием, денежными переводами, использованием платежных карт, обменом валюты, работой банкоматов, использованием электронных кошельков и QR-</w:t>
      </w:r>
      <w:r w:rsidRPr="00782A96">
        <w:rPr>
          <w:rFonts w:cs="Times New Roman"/>
          <w:color w:val="000000" w:themeColor="text1"/>
          <w:szCs w:val="28"/>
        </w:rPr>
        <w:t xml:space="preserve">кодов, депозитами, качеством обслуживания и другими вопросами, </w:t>
      </w:r>
      <w:r w:rsidR="006E0DBD" w:rsidRPr="00782A96">
        <w:rPr>
          <w:rFonts w:cs="Times New Roman"/>
          <w:color w:val="000000" w:themeColor="text1"/>
          <w:szCs w:val="28"/>
        </w:rPr>
        <w:t>которые</w:t>
      </w:r>
      <w:r w:rsidRPr="00782A96">
        <w:rPr>
          <w:rFonts w:cs="Times New Roman"/>
          <w:color w:val="000000" w:themeColor="text1"/>
          <w:szCs w:val="28"/>
        </w:rPr>
        <w:t xml:space="preserve"> были </w:t>
      </w:r>
      <w:r w:rsidRPr="00782A96">
        <w:rPr>
          <w:rFonts w:cs="Times New Roman"/>
          <w:szCs w:val="28"/>
        </w:rPr>
        <w:t>рассмотрены своевременно в установленном порядке.</w:t>
      </w:r>
      <w:r w:rsidR="006E0DBD" w:rsidRPr="00782A96">
        <w:rPr>
          <w:szCs w:val="28"/>
        </w:rPr>
        <w:t xml:space="preserve"> </w:t>
      </w:r>
    </w:p>
    <w:p w14:paraId="261C31F5" w14:textId="77777777" w:rsidR="00112263" w:rsidRPr="00782A96" w:rsidRDefault="00112263" w:rsidP="006E0DBD">
      <w:pPr>
        <w:ind w:firstLine="708"/>
        <w:jc w:val="both"/>
        <w:rPr>
          <w:b/>
          <w:szCs w:val="28"/>
        </w:rPr>
      </w:pPr>
      <w:r w:rsidRPr="00782A96">
        <w:rPr>
          <w:b/>
          <w:szCs w:val="28"/>
        </w:rPr>
        <w:t>КАДРОВАЯ ПОЛИТИКА</w:t>
      </w:r>
    </w:p>
    <w:p w14:paraId="22B5414C" w14:textId="77777777" w:rsidR="00112263" w:rsidRPr="00782A96" w:rsidRDefault="00080A0C" w:rsidP="00080A0C">
      <w:pPr>
        <w:jc w:val="both"/>
        <w:rPr>
          <w:szCs w:val="28"/>
        </w:rPr>
      </w:pPr>
      <w:r w:rsidRPr="00782A96">
        <w:rPr>
          <w:szCs w:val="28"/>
        </w:rPr>
        <w:tab/>
        <w:t>Национальный банк Таджикистана и кредитные финансовые организации уделяют особое внимание привлечению наибольшего количества квалифицированных и опытных специалистов женского пола на работу в учреждения банковской системы и их выдвижению на руководящие должности.</w:t>
      </w:r>
    </w:p>
    <w:p w14:paraId="1E96CA6B" w14:textId="77777777" w:rsidR="00112263" w:rsidRPr="00782A96" w:rsidRDefault="00991711" w:rsidP="00991711">
      <w:pPr>
        <w:ind w:firstLine="708"/>
        <w:jc w:val="both"/>
        <w:rPr>
          <w:szCs w:val="28"/>
        </w:rPr>
      </w:pPr>
      <w:r w:rsidRPr="00782A96">
        <w:rPr>
          <w:color w:val="000000" w:themeColor="text1"/>
          <w:szCs w:val="28"/>
        </w:rPr>
        <w:t>Согласно статистическим данным</w:t>
      </w:r>
      <w:r w:rsidRPr="00782A96">
        <w:rPr>
          <w:color w:val="FF0000"/>
          <w:szCs w:val="28"/>
        </w:rPr>
        <w:t xml:space="preserve"> </w:t>
      </w:r>
      <w:r w:rsidRPr="00782A96">
        <w:rPr>
          <w:szCs w:val="28"/>
        </w:rPr>
        <w:t>на отчетную дату общее число работников банковской системы составила 21 613, из этого 41,2 процента (или 8 894) составляют женщины, что по сравнению с аналогичн</w:t>
      </w:r>
      <w:r w:rsidR="00A3608E" w:rsidRPr="00782A96">
        <w:rPr>
          <w:szCs w:val="28"/>
        </w:rPr>
        <w:t>ым периодом</w:t>
      </w:r>
      <w:r w:rsidRPr="00782A96">
        <w:rPr>
          <w:szCs w:val="28"/>
        </w:rPr>
        <w:t xml:space="preserve"> прошлого года больше на </w:t>
      </w:r>
      <w:r w:rsidR="00A3608E" w:rsidRPr="00782A96">
        <w:rPr>
          <w:szCs w:val="28"/>
        </w:rPr>
        <w:t>11,2 процента (или на 895)</w:t>
      </w:r>
      <w:r w:rsidRPr="00782A96">
        <w:rPr>
          <w:szCs w:val="28"/>
        </w:rPr>
        <w:t>.</w:t>
      </w:r>
    </w:p>
    <w:p w14:paraId="19E01B21" w14:textId="77777777" w:rsidR="00112263" w:rsidRPr="00782A96" w:rsidRDefault="00FE08B1" w:rsidP="00C25BC1">
      <w:pPr>
        <w:ind w:firstLine="708"/>
        <w:jc w:val="both"/>
        <w:rPr>
          <w:szCs w:val="28"/>
        </w:rPr>
      </w:pPr>
      <w:r w:rsidRPr="00782A96">
        <w:rPr>
          <w:szCs w:val="28"/>
        </w:rPr>
        <w:t xml:space="preserve">Из этого числа 8 </w:t>
      </w:r>
      <w:r w:rsidR="00C25BC1" w:rsidRPr="00782A96">
        <w:rPr>
          <w:szCs w:val="28"/>
        </w:rPr>
        <w:t>323 работают</w:t>
      </w:r>
      <w:r w:rsidRPr="00782A96">
        <w:rPr>
          <w:szCs w:val="28"/>
        </w:rPr>
        <w:t xml:space="preserve"> в качестве специалистов фронт-офиса</w:t>
      </w:r>
      <w:r w:rsidR="00C25BC1" w:rsidRPr="00782A96">
        <w:rPr>
          <w:szCs w:val="28"/>
        </w:rPr>
        <w:t xml:space="preserve"> (4 707) и бэк-офиса (3 616). </w:t>
      </w:r>
      <w:r w:rsidRPr="00782A96">
        <w:rPr>
          <w:szCs w:val="28"/>
        </w:rPr>
        <w:t>От общего числа женщин, работающих в учреждениях банковской системы, 5</w:t>
      </w:r>
      <w:r w:rsidR="00C25BC1" w:rsidRPr="00782A96">
        <w:rPr>
          <w:szCs w:val="28"/>
        </w:rPr>
        <w:t>71</w:t>
      </w:r>
      <w:r w:rsidRPr="00782A96">
        <w:rPr>
          <w:szCs w:val="28"/>
        </w:rPr>
        <w:t xml:space="preserve"> занимают руководящие должности.</w:t>
      </w:r>
    </w:p>
    <w:p w14:paraId="457D7391" w14:textId="77777777" w:rsidR="00112263" w:rsidRPr="00782A96" w:rsidRDefault="00112263" w:rsidP="00112263">
      <w:pPr>
        <w:jc w:val="center"/>
        <w:rPr>
          <w:b/>
          <w:szCs w:val="28"/>
        </w:rPr>
      </w:pPr>
      <w:r w:rsidRPr="00782A96">
        <w:rPr>
          <w:b/>
          <w:szCs w:val="28"/>
        </w:rPr>
        <w:lastRenderedPageBreak/>
        <w:t>МЕЖДУНАРОДНЫЕ ОТНОШЕНИЯ</w:t>
      </w:r>
    </w:p>
    <w:p w14:paraId="78C74C73" w14:textId="77777777" w:rsidR="00105D05" w:rsidRPr="00782A96" w:rsidRDefault="00595420" w:rsidP="00B455B5">
      <w:pPr>
        <w:ind w:firstLine="708"/>
        <w:jc w:val="both"/>
        <w:rPr>
          <w:szCs w:val="28"/>
        </w:rPr>
      </w:pPr>
      <w:r w:rsidRPr="00782A96">
        <w:rPr>
          <w:szCs w:val="28"/>
        </w:rPr>
        <w:t xml:space="preserve">Национальный банк Таджикистана осуществляет плодотворное сотрудничество с такими международными финансовыми организациями, как Международный Валютный Фонд (МВФ), Всемирный Банк, Европейский банк реконструкции и развития, Азиатский банк развития, Евразийский банк развития, </w:t>
      </w:r>
      <w:r w:rsidR="00675D09">
        <w:rPr>
          <w:szCs w:val="28"/>
        </w:rPr>
        <w:t xml:space="preserve">с </w:t>
      </w:r>
      <w:r w:rsidRPr="00782A96">
        <w:rPr>
          <w:szCs w:val="28"/>
        </w:rPr>
        <w:t>международными фондами, центральными (национальными) банками и банковскими структурами зарубежных стран.</w:t>
      </w:r>
    </w:p>
    <w:p w14:paraId="10CCE29F" w14:textId="77777777" w:rsidR="00112263" w:rsidRPr="00782A96" w:rsidRDefault="00112263" w:rsidP="00112263">
      <w:pPr>
        <w:ind w:firstLine="708"/>
        <w:jc w:val="both"/>
        <w:rPr>
          <w:szCs w:val="28"/>
        </w:rPr>
      </w:pPr>
      <w:r w:rsidRPr="00782A96">
        <w:rPr>
          <w:szCs w:val="28"/>
        </w:rPr>
        <w:t xml:space="preserve">За отчетный период Исполнительный совет Международного валютного фонда опубликовал </w:t>
      </w:r>
      <w:r w:rsidR="004C64FE" w:rsidRPr="00782A96">
        <w:rPr>
          <w:color w:val="000000" w:themeColor="text1"/>
          <w:szCs w:val="28"/>
        </w:rPr>
        <w:t>заявление</w:t>
      </w:r>
      <w:r w:rsidRPr="00782A96">
        <w:rPr>
          <w:szCs w:val="28"/>
        </w:rPr>
        <w:t xml:space="preserve"> по итогам консультаций в соответствии со Статьей IV и второго обзора реализации Программы координации политики по Таджикистану в 2025 году, в котором положительно оценил экономические показатели страны.</w:t>
      </w:r>
    </w:p>
    <w:p w14:paraId="1F1EB792" w14:textId="77777777" w:rsidR="00112263" w:rsidRPr="00782A96" w:rsidRDefault="00112263" w:rsidP="00112263">
      <w:pPr>
        <w:ind w:firstLine="708"/>
        <w:jc w:val="both"/>
        <w:rPr>
          <w:szCs w:val="28"/>
        </w:rPr>
      </w:pPr>
      <w:r w:rsidRPr="00782A96">
        <w:rPr>
          <w:szCs w:val="28"/>
        </w:rPr>
        <w:t>Также, в перво</w:t>
      </w:r>
      <w:r w:rsidR="001753D8" w:rsidRPr="00782A96">
        <w:rPr>
          <w:szCs w:val="28"/>
        </w:rPr>
        <w:t>м полугодии</w:t>
      </w:r>
      <w:r w:rsidRPr="00782A96">
        <w:rPr>
          <w:szCs w:val="28"/>
        </w:rPr>
        <w:t xml:space="preserve"> текущего года международное рейтинговое агентство «Standard &amp; </w:t>
      </w:r>
      <w:proofErr w:type="spellStart"/>
      <w:r w:rsidRPr="00782A96">
        <w:rPr>
          <w:szCs w:val="28"/>
        </w:rPr>
        <w:t>Poor's</w:t>
      </w:r>
      <w:proofErr w:type="spellEnd"/>
      <w:r w:rsidRPr="00782A96">
        <w:rPr>
          <w:szCs w:val="28"/>
        </w:rPr>
        <w:t>» подтвердило суверенный кредитный рейтинг Республики Таджикистан на уровне «B»</w:t>
      </w:r>
      <w:r w:rsidR="00F85392" w:rsidRPr="00782A96">
        <w:rPr>
          <w:szCs w:val="28"/>
        </w:rPr>
        <w:t>,</w:t>
      </w:r>
      <w:r w:rsidRPr="00782A96">
        <w:rPr>
          <w:szCs w:val="28"/>
        </w:rPr>
        <w:t xml:space="preserve"> </w:t>
      </w:r>
      <w:r w:rsidR="00F85392" w:rsidRPr="00782A96">
        <w:rPr>
          <w:rStyle w:val="jlqj4b"/>
          <w:szCs w:val="28"/>
        </w:rPr>
        <w:t>прогноз «стабильный»</w:t>
      </w:r>
      <w:r w:rsidRPr="00782A96">
        <w:rPr>
          <w:szCs w:val="28"/>
        </w:rPr>
        <w:t>, а международное рейтинговое агентство «</w:t>
      </w:r>
      <w:proofErr w:type="spellStart"/>
      <w:r w:rsidRPr="00782A96">
        <w:rPr>
          <w:szCs w:val="28"/>
        </w:rPr>
        <w:t>Moody's</w:t>
      </w:r>
      <w:proofErr w:type="spellEnd"/>
      <w:r w:rsidRPr="00782A96">
        <w:rPr>
          <w:szCs w:val="28"/>
        </w:rPr>
        <w:t>» подтвердило суверенный кредитный рейтинг Республики Таджикистан на уровне «B3»</w:t>
      </w:r>
      <w:r w:rsidR="00456F78" w:rsidRPr="00782A96">
        <w:rPr>
          <w:szCs w:val="28"/>
        </w:rPr>
        <w:t>,</w:t>
      </w:r>
      <w:r w:rsidRPr="00782A96">
        <w:rPr>
          <w:szCs w:val="28"/>
        </w:rPr>
        <w:t xml:space="preserve"> </w:t>
      </w:r>
      <w:r w:rsidR="00456F78" w:rsidRPr="00782A96">
        <w:rPr>
          <w:rStyle w:val="jlqj4b"/>
          <w:szCs w:val="28"/>
        </w:rPr>
        <w:t>прогноз «положительный».</w:t>
      </w:r>
    </w:p>
    <w:p w14:paraId="78750C4A" w14:textId="77777777" w:rsidR="00112263" w:rsidRPr="00782A96" w:rsidRDefault="00112263" w:rsidP="00112263">
      <w:pPr>
        <w:ind w:firstLine="708"/>
        <w:jc w:val="both"/>
        <w:rPr>
          <w:szCs w:val="28"/>
        </w:rPr>
      </w:pPr>
      <w:r w:rsidRPr="00782A96">
        <w:rPr>
          <w:szCs w:val="28"/>
        </w:rPr>
        <w:t xml:space="preserve">Публикация рейтинговых отчетов способствует привлечению иностранных инвестиций, особенно в банковскую систему страны, улучшению позиций страны в международных </w:t>
      </w:r>
      <w:r w:rsidR="00D02FDC" w:rsidRPr="00782A96">
        <w:rPr>
          <w:szCs w:val="28"/>
        </w:rPr>
        <w:t>отчета</w:t>
      </w:r>
      <w:r w:rsidR="00B61B23">
        <w:rPr>
          <w:szCs w:val="28"/>
        </w:rPr>
        <w:t>х</w:t>
      </w:r>
      <w:r w:rsidRPr="00782A96">
        <w:rPr>
          <w:szCs w:val="28"/>
        </w:rPr>
        <w:t>, выходу на международные фондовые рынки и обеспечению инвестиционного климата.</w:t>
      </w:r>
    </w:p>
    <w:p w14:paraId="3D657230" w14:textId="77777777" w:rsidR="00AE0164" w:rsidRPr="00782A96" w:rsidRDefault="00112263" w:rsidP="00112263">
      <w:pPr>
        <w:ind w:firstLine="708"/>
        <w:jc w:val="both"/>
        <w:rPr>
          <w:szCs w:val="28"/>
        </w:rPr>
      </w:pPr>
      <w:r w:rsidRPr="00782A96">
        <w:rPr>
          <w:szCs w:val="28"/>
        </w:rPr>
        <w:t xml:space="preserve">В результате </w:t>
      </w:r>
      <w:r w:rsidR="005E02FD" w:rsidRPr="00782A96">
        <w:rPr>
          <w:szCs w:val="28"/>
        </w:rPr>
        <w:t>осуществления</w:t>
      </w:r>
      <w:r w:rsidRPr="00782A96">
        <w:rPr>
          <w:szCs w:val="28"/>
        </w:rPr>
        <w:t xml:space="preserve"> необходимых мер, </w:t>
      </w:r>
      <w:r w:rsidR="00AE0164" w:rsidRPr="00782A96">
        <w:rPr>
          <w:szCs w:val="28"/>
        </w:rPr>
        <w:t xml:space="preserve">за первое полугодие 2025 года </w:t>
      </w:r>
      <w:r w:rsidRPr="00782A96">
        <w:rPr>
          <w:szCs w:val="28"/>
        </w:rPr>
        <w:t>в банковскую систему страны привлечен</w:t>
      </w:r>
      <w:r w:rsidR="00AE0164" w:rsidRPr="00782A96">
        <w:rPr>
          <w:szCs w:val="28"/>
        </w:rPr>
        <w:t>ы</w:t>
      </w:r>
      <w:r w:rsidRPr="00782A96">
        <w:rPr>
          <w:szCs w:val="28"/>
        </w:rPr>
        <w:t xml:space="preserve"> </w:t>
      </w:r>
      <w:r w:rsidR="00AE0164" w:rsidRPr="00782A96">
        <w:rPr>
          <w:szCs w:val="28"/>
        </w:rPr>
        <w:t xml:space="preserve">иностранные инвестиции на сумму </w:t>
      </w:r>
      <w:r w:rsidRPr="00782A96">
        <w:rPr>
          <w:szCs w:val="28"/>
        </w:rPr>
        <w:t>3,0 млрд долларов США, что на 79,0</w:t>
      </w:r>
      <w:r w:rsidR="009320E6" w:rsidRPr="00782A96">
        <w:rPr>
          <w:szCs w:val="28"/>
        </w:rPr>
        <w:t xml:space="preserve"> процента</w:t>
      </w:r>
      <w:r w:rsidRPr="00782A96">
        <w:rPr>
          <w:szCs w:val="28"/>
        </w:rPr>
        <w:t xml:space="preserve"> больше</w:t>
      </w:r>
      <w:r w:rsidR="009320E6" w:rsidRPr="00782A96">
        <w:rPr>
          <w:szCs w:val="28"/>
        </w:rPr>
        <w:t xml:space="preserve"> по сравнению с аналогичным периодом прошлого года. </w:t>
      </w:r>
      <w:r w:rsidR="005E02FD" w:rsidRPr="00782A96">
        <w:rPr>
          <w:szCs w:val="28"/>
        </w:rPr>
        <w:t xml:space="preserve"> </w:t>
      </w:r>
    </w:p>
    <w:p w14:paraId="77DA664A" w14:textId="77777777" w:rsidR="0023479A" w:rsidRPr="00782A96" w:rsidRDefault="0023479A" w:rsidP="0023479A">
      <w:pPr>
        <w:ind w:firstLine="360"/>
        <w:jc w:val="both"/>
        <w:rPr>
          <w:szCs w:val="28"/>
        </w:rPr>
      </w:pPr>
      <w:r w:rsidRPr="00782A96">
        <w:rPr>
          <w:szCs w:val="28"/>
        </w:rPr>
        <w:t xml:space="preserve">Национальный банк Таджикистана и впредь будет предпринимать соответствующие меры, направленные на эффективную реализацию монетарной политики, усиление регулирования и надзора за деятельностью кредитных организаций, защиту прав и интересов </w:t>
      </w:r>
      <w:r w:rsidRPr="00782A96">
        <w:rPr>
          <w:szCs w:val="28"/>
        </w:rPr>
        <w:lastRenderedPageBreak/>
        <w:t>пользователей банковских услуг, обеспечение транспарентности в деятельности кредитных организаций, укрепление корпоративного управления, а также на сохранение доверия населения к банковской системе.</w:t>
      </w:r>
    </w:p>
    <w:p w14:paraId="10931055" w14:textId="77777777" w:rsidR="0023479A" w:rsidRPr="00782A96" w:rsidRDefault="0023479A" w:rsidP="0023479A">
      <w:pPr>
        <w:spacing w:before="100" w:beforeAutospacing="1" w:after="100" w:afterAutospacing="1"/>
        <w:ind w:firstLine="567"/>
        <w:jc w:val="both"/>
        <w:rPr>
          <w:b/>
          <w:szCs w:val="28"/>
        </w:rPr>
      </w:pPr>
      <w:r w:rsidRPr="00782A96">
        <w:rPr>
          <w:b/>
          <w:szCs w:val="28"/>
        </w:rPr>
        <w:t xml:space="preserve">Отдел прессы </w:t>
      </w:r>
    </w:p>
    <w:p w14:paraId="74E652A2" w14:textId="77777777" w:rsidR="009320E6" w:rsidRPr="00782A96" w:rsidRDefault="009320E6" w:rsidP="00112263">
      <w:pPr>
        <w:ind w:firstLine="708"/>
        <w:jc w:val="both"/>
        <w:rPr>
          <w:szCs w:val="28"/>
        </w:rPr>
      </w:pPr>
    </w:p>
    <w:sectPr w:rsidR="009320E6" w:rsidRPr="00782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C2"/>
    <w:rsid w:val="00037374"/>
    <w:rsid w:val="000440DB"/>
    <w:rsid w:val="00080A0C"/>
    <w:rsid w:val="00097656"/>
    <w:rsid w:val="000B0841"/>
    <w:rsid w:val="000B75E2"/>
    <w:rsid w:val="000E1867"/>
    <w:rsid w:val="00105D05"/>
    <w:rsid w:val="00112263"/>
    <w:rsid w:val="001439B4"/>
    <w:rsid w:val="001508CA"/>
    <w:rsid w:val="00156E3D"/>
    <w:rsid w:val="001660CD"/>
    <w:rsid w:val="00174A2F"/>
    <w:rsid w:val="001753D8"/>
    <w:rsid w:val="0019512E"/>
    <w:rsid w:val="001A47D9"/>
    <w:rsid w:val="001E1130"/>
    <w:rsid w:val="0021140F"/>
    <w:rsid w:val="0023479A"/>
    <w:rsid w:val="00262CF9"/>
    <w:rsid w:val="002C3850"/>
    <w:rsid w:val="002F39CD"/>
    <w:rsid w:val="00314CAD"/>
    <w:rsid w:val="00320BA1"/>
    <w:rsid w:val="00331169"/>
    <w:rsid w:val="00334F81"/>
    <w:rsid w:val="00375B9F"/>
    <w:rsid w:val="0039782E"/>
    <w:rsid w:val="003E59A2"/>
    <w:rsid w:val="00456F78"/>
    <w:rsid w:val="00467FD1"/>
    <w:rsid w:val="004A5545"/>
    <w:rsid w:val="004C64FE"/>
    <w:rsid w:val="004E6336"/>
    <w:rsid w:val="00531053"/>
    <w:rsid w:val="0054020C"/>
    <w:rsid w:val="0058613E"/>
    <w:rsid w:val="00595420"/>
    <w:rsid w:val="0059793E"/>
    <w:rsid w:val="005C4B96"/>
    <w:rsid w:val="005D69B8"/>
    <w:rsid w:val="005E02FD"/>
    <w:rsid w:val="005F08D7"/>
    <w:rsid w:val="00615552"/>
    <w:rsid w:val="00654055"/>
    <w:rsid w:val="00654B61"/>
    <w:rsid w:val="00664637"/>
    <w:rsid w:val="00675D09"/>
    <w:rsid w:val="006C16A7"/>
    <w:rsid w:val="006D5135"/>
    <w:rsid w:val="006E0DBD"/>
    <w:rsid w:val="006E50A6"/>
    <w:rsid w:val="00716471"/>
    <w:rsid w:val="00731BF3"/>
    <w:rsid w:val="00782A96"/>
    <w:rsid w:val="00796843"/>
    <w:rsid w:val="007D18C2"/>
    <w:rsid w:val="007D2139"/>
    <w:rsid w:val="007E2E87"/>
    <w:rsid w:val="00801AA2"/>
    <w:rsid w:val="00806F5E"/>
    <w:rsid w:val="00814B38"/>
    <w:rsid w:val="0081572A"/>
    <w:rsid w:val="00833BC2"/>
    <w:rsid w:val="008B7695"/>
    <w:rsid w:val="009249CB"/>
    <w:rsid w:val="009320E6"/>
    <w:rsid w:val="009614D6"/>
    <w:rsid w:val="00974B6D"/>
    <w:rsid w:val="0097727C"/>
    <w:rsid w:val="00991711"/>
    <w:rsid w:val="00991864"/>
    <w:rsid w:val="009C2229"/>
    <w:rsid w:val="009C2C29"/>
    <w:rsid w:val="009F6332"/>
    <w:rsid w:val="00A07C89"/>
    <w:rsid w:val="00A25F5A"/>
    <w:rsid w:val="00A2610F"/>
    <w:rsid w:val="00A3608E"/>
    <w:rsid w:val="00A4376F"/>
    <w:rsid w:val="00AA3352"/>
    <w:rsid w:val="00AB4FB8"/>
    <w:rsid w:val="00AE0164"/>
    <w:rsid w:val="00AF55BC"/>
    <w:rsid w:val="00B02305"/>
    <w:rsid w:val="00B361E1"/>
    <w:rsid w:val="00B455B5"/>
    <w:rsid w:val="00B53C5D"/>
    <w:rsid w:val="00B61B23"/>
    <w:rsid w:val="00B62605"/>
    <w:rsid w:val="00B74395"/>
    <w:rsid w:val="00B85D1A"/>
    <w:rsid w:val="00BA3803"/>
    <w:rsid w:val="00C169C9"/>
    <w:rsid w:val="00C25BC1"/>
    <w:rsid w:val="00C339C0"/>
    <w:rsid w:val="00C52484"/>
    <w:rsid w:val="00C55F69"/>
    <w:rsid w:val="00C972D5"/>
    <w:rsid w:val="00CA65A3"/>
    <w:rsid w:val="00CC7816"/>
    <w:rsid w:val="00CD0F47"/>
    <w:rsid w:val="00CE2A87"/>
    <w:rsid w:val="00CF234C"/>
    <w:rsid w:val="00CF53AC"/>
    <w:rsid w:val="00D02FDC"/>
    <w:rsid w:val="00D10122"/>
    <w:rsid w:val="00D2501D"/>
    <w:rsid w:val="00D27C36"/>
    <w:rsid w:val="00D33CB5"/>
    <w:rsid w:val="00D645E4"/>
    <w:rsid w:val="00D850B5"/>
    <w:rsid w:val="00D857AE"/>
    <w:rsid w:val="00D86F0C"/>
    <w:rsid w:val="00D90F42"/>
    <w:rsid w:val="00D9503D"/>
    <w:rsid w:val="00D979F5"/>
    <w:rsid w:val="00DA15B6"/>
    <w:rsid w:val="00DA2A09"/>
    <w:rsid w:val="00E01720"/>
    <w:rsid w:val="00E1799B"/>
    <w:rsid w:val="00E83489"/>
    <w:rsid w:val="00E86375"/>
    <w:rsid w:val="00EC4382"/>
    <w:rsid w:val="00ED1730"/>
    <w:rsid w:val="00F438A7"/>
    <w:rsid w:val="00F721EB"/>
    <w:rsid w:val="00F85392"/>
    <w:rsid w:val="00FD00DB"/>
    <w:rsid w:val="00FE08B1"/>
    <w:rsid w:val="00FF1E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30CC"/>
  <w15:chartTrackingRefBased/>
  <w15:docId w15:val="{4EB55769-6905-4D6F-AE22-B38C0700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F8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7F5E-5A40-4820-83D6-31967B06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2023</Words>
  <Characters>11535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Аминов Парвиз</cp:lastModifiedBy>
  <cp:revision>77</cp:revision>
  <cp:lastPrinted>2025-07-28T09:52:00Z</cp:lastPrinted>
  <dcterms:created xsi:type="dcterms:W3CDTF">2025-07-25T10:12:00Z</dcterms:created>
  <dcterms:modified xsi:type="dcterms:W3CDTF">2025-07-28T10:03:00Z</dcterms:modified>
</cp:coreProperties>
</file>