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1A35" w14:textId="77777777" w:rsidR="008458D6" w:rsidRPr="002F720A" w:rsidRDefault="007A1002" w:rsidP="008458D6">
      <w:pPr>
        <w:ind w:firstLine="360"/>
        <w:jc w:val="center"/>
        <w:rPr>
          <w:rFonts w:ascii="Palatino Linotype" w:hAnsi="Palatino Linotype"/>
          <w:b/>
          <w:sz w:val="28"/>
          <w:szCs w:val="28"/>
          <w:lang w:val="tg-Cyrl-TJ"/>
        </w:rPr>
      </w:pPr>
      <w:r w:rsidRPr="002F720A">
        <w:rPr>
          <w:rFonts w:ascii="Palatino Linotype" w:hAnsi="Palatino Linotype"/>
          <w:b/>
          <w:sz w:val="28"/>
          <w:szCs w:val="28"/>
          <w:lang w:val="tg-Cyrl-TJ"/>
        </w:rPr>
        <w:t xml:space="preserve">Краткий </w:t>
      </w:r>
      <w:r w:rsidR="008458D6" w:rsidRPr="002F720A">
        <w:rPr>
          <w:rFonts w:ascii="Palatino Linotype" w:hAnsi="Palatino Linotype"/>
          <w:b/>
          <w:sz w:val="28"/>
          <w:szCs w:val="28"/>
          <w:lang w:val="tg-Cyrl-TJ"/>
        </w:rPr>
        <w:t xml:space="preserve">экономический обзор </w:t>
      </w:r>
    </w:p>
    <w:p w14:paraId="650A591D" w14:textId="77777777" w:rsidR="008458D6" w:rsidRPr="002F720A" w:rsidRDefault="008458D6" w:rsidP="008458D6">
      <w:pPr>
        <w:ind w:firstLine="360"/>
        <w:jc w:val="center"/>
        <w:rPr>
          <w:rFonts w:ascii="Palatino Linotype" w:hAnsi="Palatino Linotype"/>
          <w:b/>
          <w:sz w:val="28"/>
          <w:szCs w:val="28"/>
          <w:lang w:val="tg-Cyrl-TJ"/>
        </w:rPr>
      </w:pPr>
      <w:r w:rsidRPr="002F720A">
        <w:rPr>
          <w:rFonts w:ascii="Palatino Linotype" w:hAnsi="Palatino Linotype"/>
          <w:b/>
          <w:sz w:val="28"/>
          <w:szCs w:val="28"/>
          <w:lang w:val="tg-Cyrl-TJ"/>
        </w:rPr>
        <w:t>и деятел</w:t>
      </w:r>
      <w:r w:rsidRPr="002F720A">
        <w:rPr>
          <w:rFonts w:ascii="Palatino Linotype" w:hAnsi="Palatino Linotype"/>
          <w:b/>
          <w:sz w:val="28"/>
          <w:szCs w:val="28"/>
        </w:rPr>
        <w:t>ь</w:t>
      </w:r>
      <w:r w:rsidRPr="002F720A">
        <w:rPr>
          <w:rFonts w:ascii="Palatino Linotype" w:hAnsi="Palatino Linotype"/>
          <w:b/>
          <w:sz w:val="28"/>
          <w:szCs w:val="28"/>
          <w:lang w:val="tg-Cyrl-TJ"/>
        </w:rPr>
        <w:t>ность банковской системы за 202</w:t>
      </w:r>
      <w:r w:rsidR="007A1002" w:rsidRPr="002F720A">
        <w:rPr>
          <w:rFonts w:ascii="Palatino Linotype" w:hAnsi="Palatino Linotype"/>
          <w:b/>
          <w:sz w:val="28"/>
          <w:szCs w:val="28"/>
          <w:lang w:val="tg-Cyrl-TJ"/>
        </w:rPr>
        <w:t>5</w:t>
      </w:r>
      <w:r w:rsidRPr="002F720A">
        <w:rPr>
          <w:rFonts w:ascii="Palatino Linotype" w:hAnsi="Palatino Linotype"/>
          <w:b/>
          <w:sz w:val="28"/>
          <w:szCs w:val="28"/>
          <w:lang w:val="tg-Cyrl-TJ"/>
        </w:rPr>
        <w:t xml:space="preserve"> год</w:t>
      </w:r>
    </w:p>
    <w:p w14:paraId="5909A306" w14:textId="77777777" w:rsidR="008458D6" w:rsidRPr="002F720A" w:rsidRDefault="008458D6" w:rsidP="008458D6">
      <w:pPr>
        <w:ind w:firstLine="360"/>
        <w:jc w:val="center"/>
        <w:rPr>
          <w:rFonts w:ascii="Palatino Linotype" w:hAnsi="Palatino Linotype"/>
          <w:b/>
          <w:sz w:val="16"/>
          <w:szCs w:val="16"/>
          <w:lang w:val="tg-Cyrl-TJ"/>
        </w:rPr>
      </w:pPr>
    </w:p>
    <w:p w14:paraId="61BFEFD3" w14:textId="6E0E48CC" w:rsidR="008458D6" w:rsidRPr="002F720A" w:rsidRDefault="00A512CE" w:rsidP="0060695D">
      <w:pPr>
        <w:ind w:firstLine="360"/>
        <w:jc w:val="both"/>
        <w:rPr>
          <w:rFonts w:ascii="Palatino Linotype" w:hAnsi="Palatino Linotype"/>
          <w:bCs/>
          <w:sz w:val="28"/>
          <w:szCs w:val="28"/>
          <w:lang w:val="tt-RU"/>
        </w:rPr>
      </w:pPr>
      <w:r>
        <w:rPr>
          <w:rFonts w:ascii="Palatino Linotype" w:hAnsi="Palatino Linotype"/>
          <w:bCs/>
          <w:sz w:val="28"/>
          <w:szCs w:val="28"/>
          <w:lang w:val="tt-RU"/>
        </w:rPr>
        <w:tab/>
      </w:r>
      <w:r w:rsidR="008458D6" w:rsidRPr="002F720A">
        <w:rPr>
          <w:rFonts w:ascii="Palatino Linotype" w:hAnsi="Palatino Linotype"/>
          <w:bCs/>
          <w:sz w:val="28"/>
          <w:szCs w:val="28"/>
          <w:lang w:val="tt-RU"/>
        </w:rPr>
        <w:t xml:space="preserve">В </w:t>
      </w:r>
      <w:r w:rsidR="007A1002" w:rsidRPr="002F720A">
        <w:rPr>
          <w:rFonts w:ascii="Palatino Linotype" w:hAnsi="Palatino Linotype"/>
          <w:bCs/>
          <w:sz w:val="28"/>
          <w:szCs w:val="28"/>
          <w:lang w:val="tt-RU"/>
        </w:rPr>
        <w:t>2025</w:t>
      </w:r>
      <w:r w:rsidR="008458D6" w:rsidRPr="002F720A">
        <w:rPr>
          <w:rFonts w:ascii="Palatino Linotype" w:hAnsi="Palatino Linotype"/>
          <w:bCs/>
          <w:sz w:val="28"/>
          <w:szCs w:val="28"/>
          <w:lang w:val="tt-RU"/>
        </w:rPr>
        <w:t xml:space="preserve"> год</w:t>
      </w:r>
      <w:r w:rsidR="007A1002" w:rsidRPr="002F720A">
        <w:rPr>
          <w:rFonts w:ascii="Palatino Linotype" w:hAnsi="Palatino Linotype"/>
          <w:bCs/>
          <w:sz w:val="28"/>
          <w:szCs w:val="28"/>
          <w:lang w:val="tt-RU"/>
        </w:rPr>
        <w:t>у</w:t>
      </w:r>
      <w:r w:rsidR="008458D6" w:rsidRPr="002F720A">
        <w:rPr>
          <w:rFonts w:ascii="Palatino Linotype" w:hAnsi="Palatino Linotype"/>
          <w:bCs/>
          <w:sz w:val="28"/>
          <w:szCs w:val="28"/>
          <w:lang w:val="tt-RU"/>
        </w:rPr>
        <w:t xml:space="preserve"> Национальный банк Таджикистана осуществил свою деятельность в соответствии с законодательством сферы и задачами, озвученными в Послании Президента Республики Таджикистан, уважаемого Эмомали Рахмона “Об основных направлениях внутренней и внешней политики </w:t>
      </w:r>
      <w:r w:rsidR="001356A0" w:rsidRPr="002F720A">
        <w:rPr>
          <w:rFonts w:ascii="Palatino Linotype" w:hAnsi="Palatino Linotype"/>
          <w:bCs/>
          <w:sz w:val="28"/>
          <w:szCs w:val="28"/>
          <w:lang w:val="tt-RU"/>
        </w:rPr>
        <w:t>р</w:t>
      </w:r>
      <w:r w:rsidR="008458D6" w:rsidRPr="002F720A">
        <w:rPr>
          <w:rFonts w:ascii="Palatino Linotype" w:hAnsi="Palatino Linotype"/>
          <w:bCs/>
          <w:sz w:val="28"/>
          <w:szCs w:val="28"/>
          <w:lang w:val="tt-RU"/>
        </w:rPr>
        <w:t xml:space="preserve">еспублики”, </w:t>
      </w:r>
      <w:r w:rsidR="0060695D" w:rsidRPr="002F720A">
        <w:rPr>
          <w:rFonts w:ascii="Palatino Linotype" w:hAnsi="Palatino Linotype"/>
          <w:bCs/>
          <w:sz w:val="28"/>
          <w:szCs w:val="28"/>
          <w:lang w:val="tt-RU"/>
        </w:rPr>
        <w:t xml:space="preserve">а также </w:t>
      </w:r>
      <w:r w:rsidR="0050093F" w:rsidRPr="002F720A">
        <w:rPr>
          <w:rFonts w:ascii="Palatino Linotype" w:hAnsi="Palatino Linotype"/>
          <w:bCs/>
          <w:sz w:val="28"/>
          <w:szCs w:val="28"/>
          <w:lang w:val="tt-RU"/>
        </w:rPr>
        <w:t>в соответствии с</w:t>
      </w:r>
      <w:r w:rsidR="0060695D" w:rsidRPr="002F720A">
        <w:rPr>
          <w:rFonts w:ascii="Palatino Linotype" w:hAnsi="Palatino Linotype"/>
          <w:bCs/>
          <w:sz w:val="28"/>
          <w:szCs w:val="28"/>
          <w:lang w:val="tt-RU"/>
        </w:rPr>
        <w:t xml:space="preserve"> </w:t>
      </w:r>
      <w:r w:rsidR="0060695D" w:rsidRPr="002F720A">
        <w:rPr>
          <w:rFonts w:ascii="Palatino Linotype" w:hAnsi="Palatino Linotype"/>
          <w:bCs/>
          <w:sz w:val="28"/>
          <w:szCs w:val="28"/>
        </w:rPr>
        <w:t>«</w:t>
      </w:r>
      <w:r w:rsidR="0060695D" w:rsidRPr="002F720A">
        <w:rPr>
          <w:rFonts w:ascii="Palatino Linotype" w:hAnsi="Palatino Linotype"/>
          <w:sz w:val="28"/>
          <w:szCs w:val="28"/>
        </w:rPr>
        <w:t>Основны</w:t>
      </w:r>
      <w:r w:rsidR="0050093F" w:rsidRPr="002F720A">
        <w:rPr>
          <w:rFonts w:ascii="Palatino Linotype" w:hAnsi="Palatino Linotype"/>
          <w:sz w:val="28"/>
          <w:szCs w:val="28"/>
        </w:rPr>
        <w:t>ми</w:t>
      </w:r>
      <w:r w:rsidR="0060695D" w:rsidRPr="002F720A">
        <w:rPr>
          <w:rFonts w:ascii="Palatino Linotype" w:hAnsi="Palatino Linotype"/>
          <w:sz w:val="28"/>
          <w:szCs w:val="28"/>
        </w:rPr>
        <w:t xml:space="preserve"> направлени</w:t>
      </w:r>
      <w:r w:rsidR="0050093F" w:rsidRPr="002F720A">
        <w:rPr>
          <w:rFonts w:ascii="Palatino Linotype" w:hAnsi="Palatino Linotype"/>
          <w:sz w:val="28"/>
          <w:szCs w:val="28"/>
        </w:rPr>
        <w:t>ями</w:t>
      </w:r>
      <w:r w:rsidR="0060695D" w:rsidRPr="002F720A">
        <w:rPr>
          <w:rFonts w:ascii="Palatino Linotype" w:hAnsi="Palatino Linotype"/>
          <w:sz w:val="28"/>
          <w:szCs w:val="28"/>
        </w:rPr>
        <w:t xml:space="preserve"> денежно-кредитной политики Республики Таджикистан на 2025 год и среднесрочный период»</w:t>
      </w:r>
      <w:r w:rsidR="0060695D" w:rsidRPr="002F720A">
        <w:rPr>
          <w:rFonts w:ascii="Palatino Linotype" w:hAnsi="Palatino Linotype"/>
          <w:bCs/>
          <w:sz w:val="28"/>
          <w:szCs w:val="28"/>
          <w:lang w:val="tt-RU"/>
        </w:rPr>
        <w:t>,</w:t>
      </w:r>
      <w:r w:rsidR="0060695D" w:rsidRPr="002F720A">
        <w:rPr>
          <w:rFonts w:ascii="Palatino Linotype" w:hAnsi="Palatino Linotype"/>
          <w:sz w:val="28"/>
          <w:szCs w:val="28"/>
        </w:rPr>
        <w:t xml:space="preserve"> обеспечивая стабильное финансово-экономическое развитие</w:t>
      </w:r>
      <w:r w:rsidR="0060695D" w:rsidRPr="002F720A">
        <w:rPr>
          <w:rFonts w:ascii="Palatino Linotype" w:hAnsi="Palatino Linotype"/>
          <w:bCs/>
          <w:sz w:val="28"/>
          <w:szCs w:val="28"/>
          <w:lang w:val="tt-RU"/>
        </w:rPr>
        <w:t>.</w:t>
      </w:r>
    </w:p>
    <w:p w14:paraId="1B6058E8" w14:textId="18B83678" w:rsidR="008458D6" w:rsidRPr="002F720A" w:rsidRDefault="00A512CE" w:rsidP="008458D6">
      <w:pPr>
        <w:ind w:firstLine="360"/>
        <w:jc w:val="both"/>
        <w:rPr>
          <w:rFonts w:ascii="Palatino Linotype" w:hAnsi="Palatino Linotype"/>
          <w:bCs/>
          <w:sz w:val="28"/>
          <w:szCs w:val="28"/>
          <w:lang w:val="tt-RU"/>
        </w:rPr>
      </w:pPr>
      <w:r>
        <w:rPr>
          <w:rFonts w:ascii="Palatino Linotype" w:hAnsi="Palatino Linotype"/>
          <w:bCs/>
          <w:sz w:val="28"/>
          <w:szCs w:val="28"/>
          <w:lang w:val="tt-RU"/>
        </w:rPr>
        <w:tab/>
      </w:r>
      <w:r w:rsidR="008458D6" w:rsidRPr="002F720A">
        <w:rPr>
          <w:rFonts w:ascii="Palatino Linotype" w:hAnsi="Palatino Linotype"/>
          <w:bCs/>
          <w:sz w:val="28"/>
          <w:szCs w:val="28"/>
          <w:lang w:val="tt-RU"/>
        </w:rPr>
        <w:t xml:space="preserve">За отчетный </w:t>
      </w:r>
      <w:r w:rsidR="00B11CDC" w:rsidRPr="002F720A">
        <w:rPr>
          <w:rFonts w:ascii="Palatino Linotype" w:hAnsi="Palatino Linotype"/>
          <w:bCs/>
          <w:sz w:val="28"/>
          <w:szCs w:val="28"/>
          <w:lang w:val="tt-RU"/>
        </w:rPr>
        <w:t>г</w:t>
      </w:r>
      <w:r w:rsidR="008458D6" w:rsidRPr="002F720A">
        <w:rPr>
          <w:rFonts w:ascii="Palatino Linotype" w:hAnsi="Palatino Linotype"/>
          <w:bCs/>
          <w:sz w:val="28"/>
          <w:szCs w:val="28"/>
          <w:lang w:val="tt-RU"/>
        </w:rPr>
        <w:t xml:space="preserve">од Национальный банк Таджикистана продолжил деятельность по эффективной реализации денежно-кредитной политики, </w:t>
      </w:r>
      <w:r w:rsidR="001C7349" w:rsidRPr="002F720A">
        <w:rPr>
          <w:rFonts w:ascii="Palatino Linotype" w:hAnsi="Palatino Linotype"/>
          <w:bCs/>
          <w:sz w:val="28"/>
          <w:szCs w:val="28"/>
          <w:lang w:val="tt-RU"/>
        </w:rPr>
        <w:t xml:space="preserve">обеспечению финансовой стабильности, </w:t>
      </w:r>
      <w:r w:rsidR="008458D6" w:rsidRPr="002F720A">
        <w:rPr>
          <w:rFonts w:ascii="Palatino Linotype" w:hAnsi="Palatino Linotype"/>
          <w:bCs/>
          <w:sz w:val="28"/>
          <w:szCs w:val="28"/>
          <w:lang w:val="tt-RU"/>
        </w:rPr>
        <w:t>расширению безналичных расчетов и других финансовых инструментов, принимая необходимые</w:t>
      </w:r>
      <w:r w:rsidR="008458D6" w:rsidRPr="002F720A">
        <w:rPr>
          <w:rFonts w:ascii="Palatino Linotype" w:hAnsi="Palatino Linotype"/>
          <w:bCs/>
          <w:sz w:val="28"/>
          <w:szCs w:val="28"/>
        </w:rPr>
        <w:t xml:space="preserve"> меры, направленные на о</w:t>
      </w:r>
      <w:r w:rsidR="008458D6" w:rsidRPr="002F720A">
        <w:rPr>
          <w:rFonts w:ascii="Palatino Linotype" w:hAnsi="Palatino Linotype"/>
          <w:bCs/>
          <w:sz w:val="28"/>
          <w:szCs w:val="28"/>
          <w:lang w:val="tt-RU"/>
        </w:rPr>
        <w:t>беспечение стабильного уровня внутренних цен, устойчивости курса национальной валюты, сохранение уровня ликвидности кредитных организаций и повышение доверия населения к банковской системе, а также обеспечение непрерывной и безопасной деятельности платёжной системы</w:t>
      </w:r>
      <w:r w:rsidR="00DA6F29" w:rsidRPr="002F720A">
        <w:rPr>
          <w:rFonts w:ascii="Palatino Linotype" w:hAnsi="Palatino Linotype"/>
          <w:bCs/>
          <w:sz w:val="28"/>
          <w:szCs w:val="28"/>
          <w:lang w:val="tt-RU"/>
        </w:rPr>
        <w:t xml:space="preserve"> и устойчивость банковской системы.</w:t>
      </w:r>
    </w:p>
    <w:p w14:paraId="5A3F7B4B" w14:textId="77777777" w:rsidR="008458D6" w:rsidRPr="002F720A" w:rsidRDefault="008458D6" w:rsidP="008458D6">
      <w:pPr>
        <w:ind w:firstLine="360"/>
        <w:jc w:val="both"/>
        <w:rPr>
          <w:rFonts w:ascii="Palatino Linotype" w:hAnsi="Palatino Linotype"/>
          <w:bCs/>
          <w:sz w:val="16"/>
          <w:szCs w:val="16"/>
          <w:lang w:val="tt-RU"/>
        </w:rPr>
      </w:pPr>
    </w:p>
    <w:p w14:paraId="5069E33B" w14:textId="77777777" w:rsidR="002C1CFA" w:rsidRPr="002F720A" w:rsidRDefault="002C1CFA" w:rsidP="002C1CFA">
      <w:pPr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>МОНЕТАРНАЯ ПОЛИТИКА</w:t>
      </w:r>
    </w:p>
    <w:p w14:paraId="093F395C" w14:textId="77777777" w:rsidR="002C1CFA" w:rsidRPr="002F720A" w:rsidRDefault="002C1CFA" w:rsidP="002C1CFA">
      <w:pPr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>Уровень инфляции и монетарные инструменты</w:t>
      </w:r>
    </w:p>
    <w:p w14:paraId="5988399D" w14:textId="77777777" w:rsidR="002C1CFA" w:rsidRPr="002F720A" w:rsidRDefault="002C1CFA" w:rsidP="002C1CFA">
      <w:pPr>
        <w:jc w:val="both"/>
        <w:rPr>
          <w:rFonts w:ascii="Palatino Linotype" w:hAnsi="Palatino Linotype"/>
          <w:sz w:val="16"/>
          <w:szCs w:val="16"/>
        </w:rPr>
      </w:pPr>
    </w:p>
    <w:p w14:paraId="5A1728E8" w14:textId="6E6483A1" w:rsidR="008458D6" w:rsidRPr="002F720A" w:rsidRDefault="00A512CE" w:rsidP="008458D6">
      <w:pPr>
        <w:ind w:firstLine="36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8458D6" w:rsidRPr="002F720A">
        <w:rPr>
          <w:rFonts w:ascii="Palatino Linotype" w:hAnsi="Palatino Linotype"/>
          <w:sz w:val="28"/>
          <w:szCs w:val="28"/>
        </w:rPr>
        <w:t>Уровень инфляции за 202</w:t>
      </w:r>
      <w:r w:rsidR="00E86741" w:rsidRPr="002F720A">
        <w:rPr>
          <w:rFonts w:ascii="Palatino Linotype" w:hAnsi="Palatino Linotype"/>
          <w:sz w:val="28"/>
          <w:szCs w:val="28"/>
        </w:rPr>
        <w:t>5 год</w:t>
      </w:r>
      <w:r w:rsidR="008458D6" w:rsidRPr="002F720A">
        <w:rPr>
          <w:rFonts w:ascii="Palatino Linotype" w:hAnsi="Palatino Linotype"/>
          <w:sz w:val="28"/>
          <w:szCs w:val="28"/>
        </w:rPr>
        <w:t xml:space="preserve"> с</w:t>
      </w:r>
      <w:r w:rsidR="00CC499E" w:rsidRPr="002F720A">
        <w:rPr>
          <w:rFonts w:ascii="Palatino Linotype" w:hAnsi="Palatino Linotype"/>
          <w:sz w:val="28"/>
          <w:szCs w:val="28"/>
        </w:rPr>
        <w:t>ложился ниже уровня целевого показателя</w:t>
      </w:r>
      <w:r w:rsidR="00850CB6" w:rsidRPr="002F720A">
        <w:rPr>
          <w:rFonts w:ascii="Palatino Linotype" w:hAnsi="Palatino Linotype"/>
          <w:sz w:val="28"/>
          <w:szCs w:val="28"/>
        </w:rPr>
        <w:t xml:space="preserve"> (таргета) (5% ± 2 п.п.) и составил 3,5 процента, </w:t>
      </w:r>
      <w:r w:rsidR="008458D6" w:rsidRPr="002F720A">
        <w:rPr>
          <w:rFonts w:ascii="Palatino Linotype" w:hAnsi="Palatino Linotype"/>
          <w:sz w:val="28"/>
          <w:szCs w:val="28"/>
        </w:rPr>
        <w:t>что ниже на 0,</w:t>
      </w:r>
      <w:r w:rsidR="00850CB6" w:rsidRPr="002F720A">
        <w:rPr>
          <w:rFonts w:ascii="Palatino Linotype" w:hAnsi="Palatino Linotype"/>
          <w:sz w:val="28"/>
          <w:szCs w:val="28"/>
        </w:rPr>
        <w:t>1</w:t>
      </w:r>
      <w:r w:rsidR="008458D6" w:rsidRPr="002F720A">
        <w:rPr>
          <w:rFonts w:ascii="Palatino Linotype" w:hAnsi="Palatino Linotype"/>
          <w:sz w:val="28"/>
          <w:szCs w:val="28"/>
        </w:rPr>
        <w:t xml:space="preserve"> процентного пункта (п.п.) по сравнению с прошл</w:t>
      </w:r>
      <w:r w:rsidR="00850CB6" w:rsidRPr="002F720A">
        <w:rPr>
          <w:rFonts w:ascii="Palatino Linotype" w:hAnsi="Palatino Linotype"/>
          <w:sz w:val="28"/>
          <w:szCs w:val="28"/>
        </w:rPr>
        <w:t>ым</w:t>
      </w:r>
      <w:r w:rsidR="008458D6" w:rsidRPr="002F720A">
        <w:rPr>
          <w:rFonts w:ascii="Palatino Linotype" w:hAnsi="Palatino Linotype"/>
          <w:sz w:val="28"/>
          <w:szCs w:val="28"/>
        </w:rPr>
        <w:t xml:space="preserve"> год</w:t>
      </w:r>
      <w:r w:rsidR="00850CB6" w:rsidRPr="002F720A">
        <w:rPr>
          <w:rFonts w:ascii="Palatino Linotype" w:hAnsi="Palatino Linotype"/>
          <w:sz w:val="28"/>
          <w:szCs w:val="28"/>
        </w:rPr>
        <w:t>ом</w:t>
      </w:r>
      <w:r w:rsidR="008458D6" w:rsidRPr="002F720A">
        <w:rPr>
          <w:rFonts w:ascii="Palatino Linotype" w:hAnsi="Palatino Linotype"/>
          <w:sz w:val="28"/>
          <w:szCs w:val="28"/>
        </w:rPr>
        <w:t xml:space="preserve">. Данная тенденция 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>обусловлена в основном ростом цен на продовольственные продукты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 </w:t>
      </w:r>
      <w:r w:rsidR="00850CB6" w:rsidRPr="002F720A">
        <w:rPr>
          <w:rFonts w:ascii="Palatino Linotype" w:hAnsi="Palatino Linotype"/>
          <w:color w:val="000000" w:themeColor="text1"/>
          <w:sz w:val="28"/>
          <w:szCs w:val="28"/>
        </w:rPr>
        <w:t>4,5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процента, </w:t>
      </w:r>
      <w:r w:rsidR="00850CB6" w:rsidRPr="002F720A">
        <w:rPr>
          <w:rFonts w:ascii="Palatino Linotype" w:hAnsi="Palatino Linotype"/>
          <w:color w:val="000000" w:themeColor="text1"/>
          <w:sz w:val="28"/>
          <w:szCs w:val="28"/>
        </w:rPr>
        <w:t>непродовольственные продукты 1,5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процента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, и </w:t>
      </w:r>
      <w:r w:rsidR="00850CB6" w:rsidRPr="002F720A">
        <w:rPr>
          <w:rFonts w:ascii="Palatino Linotype" w:hAnsi="Palatino Linotype"/>
          <w:color w:val="000000" w:themeColor="text1"/>
          <w:sz w:val="28"/>
          <w:szCs w:val="28"/>
        </w:rPr>
        <w:t>стоимости платных услуг на 5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>,</w:t>
      </w:r>
      <w:r w:rsidR="00850CB6" w:rsidRPr="002F720A">
        <w:rPr>
          <w:rFonts w:ascii="Palatino Linotype" w:hAnsi="Palatino Linotype"/>
          <w:color w:val="000000" w:themeColor="text1"/>
          <w:sz w:val="28"/>
          <w:szCs w:val="28"/>
        </w:rPr>
        <w:t>7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процента</w:t>
      </w:r>
      <w:r w:rsidR="008458D6" w:rsidRPr="002F720A">
        <w:rPr>
          <w:rFonts w:ascii="Palatino Linotype" w:hAnsi="Palatino Linotype"/>
          <w:sz w:val="28"/>
          <w:szCs w:val="28"/>
        </w:rPr>
        <w:t>.</w:t>
      </w:r>
    </w:p>
    <w:p w14:paraId="45892333" w14:textId="211AB5AB" w:rsidR="008458D6" w:rsidRPr="002F720A" w:rsidRDefault="00A512CE" w:rsidP="008458D6">
      <w:pPr>
        <w:ind w:firstLine="36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8458D6" w:rsidRPr="002F720A">
        <w:rPr>
          <w:rFonts w:ascii="Palatino Linotype" w:hAnsi="Palatino Linotype"/>
          <w:sz w:val="28"/>
          <w:szCs w:val="28"/>
        </w:rPr>
        <w:t xml:space="preserve">За отчетный год, с целью регулирования денежной массы в обращении, управления уровнем ликвидности кредитных организаций, уменьшения инфляционных давлений и активизации финансового рынка, Национальным банком Таджикистана было проведено </w:t>
      </w:r>
      <w:r w:rsidR="0025193C" w:rsidRPr="002F720A">
        <w:rPr>
          <w:rFonts w:ascii="Palatino Linotype" w:hAnsi="Palatino Linotype"/>
          <w:sz w:val="28"/>
          <w:szCs w:val="28"/>
        </w:rPr>
        <w:t>110</w:t>
      </w:r>
      <w:r w:rsidR="008458D6" w:rsidRPr="002F720A">
        <w:rPr>
          <w:rFonts w:ascii="Palatino Linotype" w:hAnsi="Palatino Linotype"/>
          <w:sz w:val="28"/>
          <w:szCs w:val="28"/>
        </w:rPr>
        <w:t xml:space="preserve"> аукцион</w:t>
      </w:r>
      <w:r w:rsidR="0025193C" w:rsidRPr="002F720A">
        <w:rPr>
          <w:rFonts w:ascii="Palatino Linotype" w:hAnsi="Palatino Linotype"/>
          <w:sz w:val="28"/>
          <w:szCs w:val="28"/>
        </w:rPr>
        <w:t>ов</w:t>
      </w:r>
      <w:r w:rsidR="008458D6" w:rsidRPr="002F720A">
        <w:rPr>
          <w:rFonts w:ascii="Palatino Linotype" w:hAnsi="Palatino Linotype"/>
          <w:sz w:val="28"/>
          <w:szCs w:val="28"/>
        </w:rPr>
        <w:t xml:space="preserve"> по ценным бумагам Национального банка Таджикистана на сумму </w:t>
      </w:r>
      <w:r w:rsidR="0025193C" w:rsidRPr="002F720A">
        <w:rPr>
          <w:rFonts w:ascii="Palatino Linotype" w:hAnsi="Palatino Linotype"/>
          <w:sz w:val="28"/>
          <w:szCs w:val="28"/>
        </w:rPr>
        <w:t>6</w:t>
      </w:r>
      <w:r w:rsidR="008458D6" w:rsidRPr="002F720A">
        <w:rPr>
          <w:rFonts w:ascii="Palatino Linotype" w:hAnsi="Palatino Linotype"/>
          <w:sz w:val="28"/>
          <w:szCs w:val="28"/>
        </w:rPr>
        <w:t>3,</w:t>
      </w:r>
      <w:r w:rsidR="0025193C" w:rsidRPr="002F720A">
        <w:rPr>
          <w:rFonts w:ascii="Palatino Linotype" w:hAnsi="Palatino Linotype"/>
          <w:sz w:val="28"/>
          <w:szCs w:val="28"/>
        </w:rPr>
        <w:t>6</w:t>
      </w:r>
      <w:r w:rsidR="008458D6" w:rsidRPr="002F720A">
        <w:rPr>
          <w:rFonts w:ascii="Palatino Linotype" w:hAnsi="Palatino Linotype"/>
          <w:sz w:val="28"/>
          <w:szCs w:val="28"/>
        </w:rPr>
        <w:t xml:space="preserve"> млрд сомони.</w:t>
      </w:r>
      <w:r w:rsidR="008458D6" w:rsidRPr="002F720A">
        <w:rPr>
          <w:rFonts w:ascii="Palatino Linotype" w:hAnsi="Palatino Linotype"/>
          <w:b/>
          <w:sz w:val="28"/>
          <w:szCs w:val="28"/>
        </w:rPr>
        <w:t xml:space="preserve"> </w:t>
      </w:r>
      <w:r w:rsidR="008458D6" w:rsidRPr="002F720A">
        <w:rPr>
          <w:rFonts w:ascii="Palatino Linotype" w:hAnsi="Palatino Linotype"/>
          <w:sz w:val="28"/>
          <w:szCs w:val="28"/>
          <w:lang w:val="tt-RU"/>
        </w:rPr>
        <w:t xml:space="preserve">Вместе с тем, посредством проведения депозитных операций овернайт были привлечены </w:t>
      </w:r>
      <w:r w:rsidR="008458D6" w:rsidRPr="002F720A">
        <w:rPr>
          <w:rFonts w:ascii="Palatino Linotype" w:hAnsi="Palatino Linotype"/>
          <w:sz w:val="28"/>
          <w:szCs w:val="28"/>
          <w:lang w:val="tt-RU"/>
        </w:rPr>
        <w:lastRenderedPageBreak/>
        <w:t xml:space="preserve">свободные средства кредитных организаций в среднем каждый день на сумму </w:t>
      </w:r>
      <w:r w:rsidR="007B5638" w:rsidRPr="002F720A">
        <w:rPr>
          <w:rFonts w:ascii="Palatino Linotype" w:hAnsi="Palatino Linotype"/>
          <w:sz w:val="28"/>
          <w:szCs w:val="28"/>
          <w:lang w:val="tt-RU"/>
        </w:rPr>
        <w:t>1</w:t>
      </w:r>
      <w:r w:rsidR="008458D6" w:rsidRPr="002F720A">
        <w:rPr>
          <w:rFonts w:ascii="Palatino Linotype" w:hAnsi="Palatino Linotype"/>
          <w:sz w:val="28"/>
          <w:szCs w:val="28"/>
          <w:lang w:val="tt-RU"/>
        </w:rPr>
        <w:t>,</w:t>
      </w:r>
      <w:r w:rsidR="007B5638" w:rsidRPr="002F720A">
        <w:rPr>
          <w:rFonts w:ascii="Palatino Linotype" w:hAnsi="Palatino Linotype"/>
          <w:sz w:val="28"/>
          <w:szCs w:val="28"/>
          <w:lang w:val="tt-RU"/>
        </w:rPr>
        <w:t>6</w:t>
      </w:r>
      <w:r w:rsidR="008458D6" w:rsidRPr="002F720A">
        <w:rPr>
          <w:rFonts w:ascii="Palatino Linotype" w:hAnsi="Palatino Linotype"/>
          <w:sz w:val="28"/>
          <w:szCs w:val="28"/>
          <w:lang w:val="tt-RU"/>
        </w:rPr>
        <w:t xml:space="preserve"> мл</w:t>
      </w:r>
      <w:r w:rsidR="007B5638" w:rsidRPr="002F720A">
        <w:rPr>
          <w:rFonts w:ascii="Palatino Linotype" w:hAnsi="Palatino Linotype"/>
          <w:sz w:val="28"/>
          <w:szCs w:val="28"/>
          <w:lang w:val="tt-RU"/>
        </w:rPr>
        <w:t>рд</w:t>
      </w:r>
      <w:r w:rsidR="008458D6" w:rsidRPr="002F720A">
        <w:rPr>
          <w:rFonts w:ascii="Palatino Linotype" w:hAnsi="Palatino Linotype"/>
          <w:sz w:val="28"/>
          <w:szCs w:val="28"/>
          <w:lang w:val="tt-RU"/>
        </w:rPr>
        <w:t xml:space="preserve"> сомони</w:t>
      </w:r>
      <w:r w:rsidR="008458D6" w:rsidRPr="002F720A">
        <w:rPr>
          <w:rFonts w:ascii="Palatino Linotype" w:hAnsi="Palatino Linotype"/>
          <w:sz w:val="28"/>
          <w:szCs w:val="28"/>
        </w:rPr>
        <w:t>.</w:t>
      </w:r>
    </w:p>
    <w:p w14:paraId="391829FA" w14:textId="4053EAD3" w:rsidR="008458D6" w:rsidRPr="002F720A" w:rsidRDefault="00A512CE" w:rsidP="008458D6">
      <w:pPr>
        <w:ind w:firstLine="36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8458D6" w:rsidRPr="002F720A">
        <w:rPr>
          <w:rFonts w:ascii="Palatino Linotype" w:hAnsi="Palatino Linotype"/>
          <w:sz w:val="28"/>
          <w:szCs w:val="28"/>
        </w:rPr>
        <w:t xml:space="preserve">Ставка рефинансирования в качестве основного инструмента денежно-кредитной политики в связи с продолжением стабильной тенденции внутренних и мировых цен на товары и </w:t>
      </w:r>
      <w:r w:rsidR="008F16B8" w:rsidRPr="002F720A">
        <w:rPr>
          <w:rFonts w:ascii="Palatino Linotype" w:hAnsi="Palatino Linotype"/>
          <w:sz w:val="28"/>
          <w:szCs w:val="28"/>
        </w:rPr>
        <w:t xml:space="preserve">продукцию, </w:t>
      </w:r>
      <w:r w:rsidR="008F16B8" w:rsidRPr="002F720A">
        <w:rPr>
          <w:rFonts w:ascii="Palatino Linotype" w:hAnsi="Palatino Linotype"/>
          <w:color w:val="000000" w:themeColor="text1"/>
          <w:sz w:val="28"/>
          <w:szCs w:val="28"/>
        </w:rPr>
        <w:t>сохранением</w:t>
      </w:r>
      <w:r w:rsidR="00CE5069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инфляции ниже установленного таргета и </w:t>
      </w:r>
      <w:r w:rsidR="00862102" w:rsidRPr="002F720A">
        <w:rPr>
          <w:rFonts w:ascii="Palatino Linotype" w:hAnsi="Palatino Linotype"/>
          <w:color w:val="000000" w:themeColor="text1"/>
          <w:sz w:val="28"/>
          <w:szCs w:val="28"/>
        </w:rPr>
        <w:t>относительной стабилизацией инфляционных ожиданий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, за этот </w:t>
      </w:r>
      <w:r w:rsidR="00862102" w:rsidRPr="002F720A">
        <w:rPr>
          <w:rFonts w:ascii="Palatino Linotype" w:hAnsi="Palatino Linotype"/>
          <w:color w:val="000000" w:themeColor="text1"/>
          <w:sz w:val="28"/>
          <w:szCs w:val="28"/>
        </w:rPr>
        <w:t>го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д </w:t>
      </w:r>
      <w:r w:rsidR="00862102" w:rsidRPr="002F720A">
        <w:rPr>
          <w:rFonts w:ascii="Palatino Linotype" w:hAnsi="Palatino Linotype"/>
          <w:sz w:val="28"/>
          <w:szCs w:val="28"/>
        </w:rPr>
        <w:t>постепенно была снижена до 1</w:t>
      </w:r>
      <w:r w:rsidR="008458D6" w:rsidRPr="002F720A">
        <w:rPr>
          <w:rFonts w:ascii="Palatino Linotype" w:hAnsi="Palatino Linotype"/>
          <w:sz w:val="28"/>
          <w:szCs w:val="28"/>
        </w:rPr>
        <w:t xml:space="preserve">,5 процентного пункта и установлена на уровне </w:t>
      </w:r>
      <w:r w:rsidR="00862102" w:rsidRPr="002F720A">
        <w:rPr>
          <w:rFonts w:ascii="Palatino Linotype" w:hAnsi="Palatino Linotype"/>
          <w:sz w:val="28"/>
          <w:szCs w:val="28"/>
        </w:rPr>
        <w:t>7</w:t>
      </w:r>
      <w:r w:rsidR="008458D6" w:rsidRPr="002F720A">
        <w:rPr>
          <w:rFonts w:ascii="Palatino Linotype" w:hAnsi="Palatino Linotype"/>
          <w:sz w:val="28"/>
          <w:szCs w:val="28"/>
        </w:rPr>
        <w:t>,</w:t>
      </w:r>
      <w:r w:rsidR="00862102" w:rsidRPr="002F720A">
        <w:rPr>
          <w:rFonts w:ascii="Palatino Linotype" w:hAnsi="Palatino Linotype"/>
          <w:sz w:val="28"/>
          <w:szCs w:val="28"/>
        </w:rPr>
        <w:t>5</w:t>
      </w:r>
      <w:r w:rsidR="008458D6" w:rsidRPr="002F720A">
        <w:rPr>
          <w:rFonts w:ascii="Palatino Linotype" w:hAnsi="Palatino Linotype"/>
          <w:sz w:val="28"/>
          <w:szCs w:val="28"/>
        </w:rPr>
        <w:t xml:space="preserve"> процентов годовых.</w:t>
      </w:r>
    </w:p>
    <w:p w14:paraId="6F0F3C7A" w14:textId="77777777" w:rsidR="008458D6" w:rsidRPr="002F720A" w:rsidRDefault="008458D6" w:rsidP="008458D6">
      <w:pPr>
        <w:ind w:firstLine="360"/>
        <w:jc w:val="center"/>
        <w:rPr>
          <w:rFonts w:ascii="Palatino Linotype" w:hAnsi="Palatino Linotype"/>
          <w:b/>
          <w:sz w:val="16"/>
          <w:szCs w:val="16"/>
        </w:rPr>
      </w:pPr>
    </w:p>
    <w:p w14:paraId="368FFA4C" w14:textId="77777777" w:rsidR="008458D6" w:rsidRPr="002F720A" w:rsidRDefault="008458D6" w:rsidP="008458D6">
      <w:pPr>
        <w:ind w:firstLine="360"/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>Состояние внутреннего валютного рынка</w:t>
      </w:r>
    </w:p>
    <w:p w14:paraId="4C8217B1" w14:textId="77777777" w:rsidR="008458D6" w:rsidRPr="002F720A" w:rsidRDefault="008458D6" w:rsidP="008458D6">
      <w:pPr>
        <w:ind w:firstLine="360"/>
        <w:jc w:val="center"/>
        <w:rPr>
          <w:rFonts w:ascii="Palatino Linotype" w:hAnsi="Palatino Linotype"/>
          <w:b/>
          <w:sz w:val="16"/>
          <w:szCs w:val="16"/>
        </w:rPr>
      </w:pPr>
    </w:p>
    <w:p w14:paraId="35D3B239" w14:textId="630134D0" w:rsidR="008458D6" w:rsidRPr="002F720A" w:rsidRDefault="00A512CE" w:rsidP="00C61CE6">
      <w:pPr>
        <w:ind w:firstLine="36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  <w:lang w:val="tt-RU"/>
        </w:rPr>
        <w:tab/>
      </w:r>
      <w:r w:rsidR="008458D6" w:rsidRPr="002F720A">
        <w:rPr>
          <w:rFonts w:ascii="Palatino Linotype" w:hAnsi="Palatino Linotype"/>
          <w:sz w:val="28"/>
          <w:szCs w:val="28"/>
          <w:lang w:val="tt-RU"/>
        </w:rPr>
        <w:t xml:space="preserve">За </w:t>
      </w:r>
      <w:r w:rsidR="003900B1" w:rsidRPr="002F720A">
        <w:rPr>
          <w:rFonts w:ascii="Palatino Linotype" w:hAnsi="Palatino Linotype"/>
          <w:sz w:val="28"/>
          <w:szCs w:val="28"/>
          <w:lang w:val="tt-RU"/>
        </w:rPr>
        <w:t>2025 год</w:t>
      </w:r>
      <w:r w:rsidR="008458D6" w:rsidRPr="002F720A">
        <w:rPr>
          <w:rFonts w:ascii="Palatino Linotype" w:hAnsi="Palatino Linotype"/>
          <w:sz w:val="28"/>
          <w:szCs w:val="28"/>
          <w:lang w:val="tt-RU"/>
        </w:rPr>
        <w:t xml:space="preserve"> Национальный банк Таджикистана продолжил курсовую политику, основанную </w:t>
      </w:r>
      <w:r w:rsidR="008458D6" w:rsidRPr="002F720A">
        <w:rPr>
          <w:rFonts w:ascii="Palatino Linotype" w:hAnsi="Palatino Linotype"/>
          <w:sz w:val="28"/>
          <w:szCs w:val="28"/>
        </w:rPr>
        <w:t xml:space="preserve">на режиме «плавающего регулируемого курса, без определения и объявления пределов изменения курса». Официальный курс сомони по отношению к доллару США за </w:t>
      </w:r>
      <w:r w:rsidR="008F16B8" w:rsidRPr="002F720A">
        <w:rPr>
          <w:rFonts w:ascii="Palatino Linotype" w:hAnsi="Palatino Linotype"/>
          <w:sz w:val="28"/>
          <w:szCs w:val="28"/>
        </w:rPr>
        <w:t>отчетный год</w:t>
      </w:r>
      <w:r w:rsidR="008458D6" w:rsidRPr="002F720A">
        <w:rPr>
          <w:rFonts w:ascii="Palatino Linotype" w:hAnsi="Palatino Linotype"/>
          <w:sz w:val="28"/>
          <w:szCs w:val="28"/>
        </w:rPr>
        <w:t xml:space="preserve"> укрепился на </w:t>
      </w:r>
      <w:r w:rsidR="008F16B8" w:rsidRPr="002F720A">
        <w:rPr>
          <w:rFonts w:ascii="Palatino Linotype" w:hAnsi="Palatino Linotype"/>
          <w:sz w:val="28"/>
          <w:szCs w:val="28"/>
        </w:rPr>
        <w:t>15,4</w:t>
      </w:r>
      <w:r w:rsidR="008458D6" w:rsidRPr="002F720A">
        <w:rPr>
          <w:rFonts w:ascii="Palatino Linotype" w:hAnsi="Palatino Linotype"/>
          <w:sz w:val="28"/>
          <w:szCs w:val="28"/>
        </w:rPr>
        <w:t xml:space="preserve"> процента. </w:t>
      </w:r>
    </w:p>
    <w:p w14:paraId="15691525" w14:textId="16F6C6CE" w:rsidR="00941647" w:rsidRPr="002F720A" w:rsidRDefault="002D7845" w:rsidP="00941647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 xml:space="preserve">С учётом ситуации </w:t>
      </w:r>
      <w:r w:rsidR="00941647" w:rsidRPr="002F720A">
        <w:rPr>
          <w:rFonts w:ascii="Palatino Linotype" w:hAnsi="Palatino Linotype"/>
          <w:sz w:val="28"/>
          <w:szCs w:val="28"/>
        </w:rPr>
        <w:t>в мировой экономике официальные курсы национальных валют большинства основных торговых партнеров Республики Таджикистан изменились</w:t>
      </w:r>
      <w:r w:rsidR="007E38D3" w:rsidRPr="002F720A">
        <w:rPr>
          <w:rFonts w:ascii="Palatino Linotype" w:hAnsi="Palatino Linotype"/>
          <w:sz w:val="28"/>
          <w:szCs w:val="28"/>
        </w:rPr>
        <w:t xml:space="preserve"> по отношению к американскому доллару. </w:t>
      </w:r>
      <w:r w:rsidR="00941647" w:rsidRPr="002F720A">
        <w:rPr>
          <w:rFonts w:ascii="Palatino Linotype" w:hAnsi="Palatino Linotype"/>
          <w:sz w:val="28"/>
          <w:szCs w:val="28"/>
        </w:rPr>
        <w:t xml:space="preserve">В частности, курс российского рубля по отношению к доллару США укрепился на </w:t>
      </w:r>
      <w:r w:rsidR="007E38D3" w:rsidRPr="002F720A">
        <w:rPr>
          <w:rFonts w:ascii="Palatino Linotype" w:hAnsi="Palatino Linotype"/>
          <w:sz w:val="28"/>
          <w:szCs w:val="28"/>
        </w:rPr>
        <w:t>23,0</w:t>
      </w:r>
      <w:r w:rsidR="00A512CE">
        <w:rPr>
          <w:rFonts w:ascii="Palatino Linotype" w:hAnsi="Palatino Linotype"/>
          <w:sz w:val="28"/>
          <w:szCs w:val="28"/>
        </w:rPr>
        <w:t>7</w:t>
      </w:r>
      <w:r w:rsidR="00941647" w:rsidRPr="002F720A">
        <w:rPr>
          <w:rFonts w:ascii="Palatino Linotype" w:hAnsi="Palatino Linotype"/>
          <w:sz w:val="28"/>
          <w:szCs w:val="28"/>
        </w:rPr>
        <w:t xml:space="preserve"> процента</w:t>
      </w:r>
      <w:r w:rsidR="007E38D3" w:rsidRPr="002F720A">
        <w:rPr>
          <w:rFonts w:ascii="Palatino Linotype" w:hAnsi="Palatino Linotype"/>
          <w:sz w:val="28"/>
          <w:szCs w:val="28"/>
        </w:rPr>
        <w:t>, белорусского рубля – 16</w:t>
      </w:r>
      <w:r w:rsidR="00941647" w:rsidRPr="002F720A">
        <w:rPr>
          <w:rFonts w:ascii="Palatino Linotype" w:hAnsi="Palatino Linotype"/>
          <w:sz w:val="28"/>
          <w:szCs w:val="28"/>
        </w:rPr>
        <w:t>,</w:t>
      </w:r>
      <w:r w:rsidR="007E38D3" w:rsidRPr="002F720A">
        <w:rPr>
          <w:rFonts w:ascii="Palatino Linotype" w:hAnsi="Palatino Linotype"/>
          <w:sz w:val="28"/>
          <w:szCs w:val="28"/>
        </w:rPr>
        <w:t>43</w:t>
      </w:r>
      <w:r w:rsidR="00941647" w:rsidRPr="002F720A">
        <w:rPr>
          <w:rFonts w:ascii="Palatino Linotype" w:hAnsi="Palatino Linotype"/>
          <w:sz w:val="28"/>
          <w:szCs w:val="28"/>
        </w:rPr>
        <w:t xml:space="preserve"> процента, </w:t>
      </w:r>
      <w:r w:rsidR="007E38D3" w:rsidRPr="002F720A">
        <w:rPr>
          <w:rFonts w:ascii="Palatino Linotype" w:hAnsi="Palatino Linotype"/>
          <w:sz w:val="28"/>
          <w:szCs w:val="28"/>
        </w:rPr>
        <w:t xml:space="preserve">узбекского сума – 6,93 процента, </w:t>
      </w:r>
      <w:r w:rsidR="00941647" w:rsidRPr="002F720A">
        <w:rPr>
          <w:rFonts w:ascii="Palatino Linotype" w:hAnsi="Palatino Linotype"/>
          <w:sz w:val="28"/>
          <w:szCs w:val="28"/>
        </w:rPr>
        <w:t xml:space="preserve">казахского тенге – </w:t>
      </w:r>
      <w:r w:rsidR="007E38D3" w:rsidRPr="002F720A">
        <w:rPr>
          <w:rFonts w:ascii="Palatino Linotype" w:hAnsi="Palatino Linotype"/>
          <w:sz w:val="28"/>
          <w:szCs w:val="28"/>
        </w:rPr>
        <w:t>4</w:t>
      </w:r>
      <w:r w:rsidR="00941647" w:rsidRPr="002F720A">
        <w:rPr>
          <w:rFonts w:ascii="Palatino Linotype" w:hAnsi="Palatino Linotype"/>
          <w:sz w:val="28"/>
          <w:szCs w:val="28"/>
        </w:rPr>
        <w:t>,</w:t>
      </w:r>
      <w:r w:rsidR="007E38D3" w:rsidRPr="002F720A">
        <w:rPr>
          <w:rFonts w:ascii="Palatino Linotype" w:hAnsi="Palatino Linotype"/>
          <w:sz w:val="28"/>
          <w:szCs w:val="28"/>
        </w:rPr>
        <w:t>01</w:t>
      </w:r>
      <w:r w:rsidR="00941647" w:rsidRPr="002F720A">
        <w:rPr>
          <w:rFonts w:ascii="Palatino Linotype" w:hAnsi="Palatino Linotype"/>
          <w:sz w:val="28"/>
          <w:szCs w:val="28"/>
        </w:rPr>
        <w:t xml:space="preserve"> процента, </w:t>
      </w:r>
      <w:r w:rsidR="00C61CE6" w:rsidRPr="002F720A">
        <w:rPr>
          <w:rFonts w:ascii="Palatino Linotype" w:hAnsi="Palatino Linotype"/>
          <w:sz w:val="28"/>
          <w:szCs w:val="28"/>
        </w:rPr>
        <w:t>китайского юаня – 2</w:t>
      </w:r>
      <w:r w:rsidR="00941647" w:rsidRPr="002F720A">
        <w:rPr>
          <w:rFonts w:ascii="Palatino Linotype" w:hAnsi="Palatino Linotype"/>
          <w:sz w:val="28"/>
          <w:szCs w:val="28"/>
        </w:rPr>
        <w:t>,</w:t>
      </w:r>
      <w:r w:rsidR="00C61CE6" w:rsidRPr="002F720A">
        <w:rPr>
          <w:rFonts w:ascii="Palatino Linotype" w:hAnsi="Palatino Linotype"/>
          <w:sz w:val="28"/>
          <w:szCs w:val="28"/>
        </w:rPr>
        <w:t>22</w:t>
      </w:r>
      <w:r w:rsidR="00941647" w:rsidRPr="002F720A">
        <w:rPr>
          <w:rFonts w:ascii="Palatino Linotype" w:hAnsi="Palatino Linotype"/>
          <w:sz w:val="28"/>
          <w:szCs w:val="28"/>
        </w:rPr>
        <w:t xml:space="preserve"> процента, а курс турецкой лиры по отношению к доллару США снизился на</w:t>
      </w:r>
      <w:r w:rsidR="00C61CE6" w:rsidRPr="002F720A">
        <w:rPr>
          <w:rFonts w:ascii="Palatino Linotype" w:hAnsi="Palatino Linotype"/>
          <w:sz w:val="28"/>
          <w:szCs w:val="28"/>
        </w:rPr>
        <w:t xml:space="preserve"> 21</w:t>
      </w:r>
      <w:r w:rsidR="00941647" w:rsidRPr="002F720A">
        <w:rPr>
          <w:rFonts w:ascii="Palatino Linotype" w:hAnsi="Palatino Linotype"/>
          <w:sz w:val="28"/>
          <w:szCs w:val="28"/>
        </w:rPr>
        <w:t>,</w:t>
      </w:r>
      <w:r w:rsidR="00C61CE6" w:rsidRPr="002F720A">
        <w:rPr>
          <w:rFonts w:ascii="Palatino Linotype" w:hAnsi="Palatino Linotype"/>
          <w:sz w:val="28"/>
          <w:szCs w:val="28"/>
        </w:rPr>
        <w:t>49</w:t>
      </w:r>
      <w:r w:rsidR="00941647" w:rsidRPr="002F720A">
        <w:rPr>
          <w:rFonts w:ascii="Palatino Linotype" w:hAnsi="Palatino Linotype"/>
          <w:sz w:val="28"/>
          <w:szCs w:val="28"/>
        </w:rPr>
        <w:t xml:space="preserve"> процента и кыргызского сома на 0,</w:t>
      </w:r>
      <w:r w:rsidR="00C61CE6" w:rsidRPr="002F720A">
        <w:rPr>
          <w:rFonts w:ascii="Palatino Linotype" w:hAnsi="Palatino Linotype"/>
          <w:sz w:val="28"/>
          <w:szCs w:val="28"/>
        </w:rPr>
        <w:t>48</w:t>
      </w:r>
      <w:r w:rsidR="00941647" w:rsidRPr="002F720A">
        <w:rPr>
          <w:rFonts w:ascii="Palatino Linotype" w:hAnsi="Palatino Linotype"/>
          <w:sz w:val="28"/>
          <w:szCs w:val="28"/>
        </w:rPr>
        <w:t xml:space="preserve"> процента.</w:t>
      </w:r>
    </w:p>
    <w:p w14:paraId="7B5CD726" w14:textId="77777777" w:rsidR="008458D6" w:rsidRPr="002F720A" w:rsidRDefault="008458D6" w:rsidP="00576565">
      <w:pPr>
        <w:rPr>
          <w:rFonts w:ascii="Palatino Linotype" w:hAnsi="Palatino Linotype"/>
          <w:b/>
          <w:sz w:val="16"/>
          <w:szCs w:val="16"/>
        </w:rPr>
      </w:pPr>
    </w:p>
    <w:p w14:paraId="33B6BB2D" w14:textId="77777777" w:rsidR="008458D6" w:rsidRPr="002F720A" w:rsidRDefault="008458D6" w:rsidP="008458D6">
      <w:pPr>
        <w:ind w:firstLine="360"/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>БАНКОВСКАЯ СИСТЕМА</w:t>
      </w:r>
    </w:p>
    <w:p w14:paraId="6B4432CE" w14:textId="77777777" w:rsidR="002F720A" w:rsidRDefault="00621485" w:rsidP="00621485">
      <w:pPr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 xml:space="preserve">Кредитные финансовые организации и их </w:t>
      </w:r>
    </w:p>
    <w:p w14:paraId="04377642" w14:textId="75D79A37" w:rsidR="00621485" w:rsidRPr="002F720A" w:rsidRDefault="00621485" w:rsidP="00621485">
      <w:pPr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>структурные подразделения</w:t>
      </w:r>
    </w:p>
    <w:p w14:paraId="5EC06B56" w14:textId="3C906D8A" w:rsidR="00621485" w:rsidRPr="002F720A" w:rsidRDefault="00A512CE" w:rsidP="00621485">
      <w:pPr>
        <w:ind w:firstLine="36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621485" w:rsidRPr="002F720A">
        <w:rPr>
          <w:rFonts w:ascii="Palatino Linotype" w:hAnsi="Palatino Linotype"/>
          <w:sz w:val="28"/>
          <w:szCs w:val="28"/>
        </w:rPr>
        <w:t xml:space="preserve">По состоянию на 31 декабря 2025 года на территории Республики Таджикистан функционируют 69 кредитных финансовых организаций, в том числе 18 традиционных банков, 1 исламский банк, 26 микрокредитных депозитных организаций, </w:t>
      </w:r>
      <w:r>
        <w:rPr>
          <w:rFonts w:ascii="Palatino Linotype" w:hAnsi="Palatino Linotype"/>
          <w:sz w:val="28"/>
          <w:szCs w:val="28"/>
        </w:rPr>
        <w:t>2</w:t>
      </w:r>
      <w:r w:rsidR="00621485" w:rsidRPr="002F720A">
        <w:rPr>
          <w:rFonts w:ascii="Palatino Linotype" w:hAnsi="Palatino Linotype"/>
          <w:sz w:val="28"/>
          <w:szCs w:val="28"/>
        </w:rPr>
        <w:t xml:space="preserve"> микрокредитные организации и 22 микрокредитных фонда. </w:t>
      </w:r>
    </w:p>
    <w:p w14:paraId="16E2A646" w14:textId="350BA495" w:rsidR="008458D6" w:rsidRPr="002F720A" w:rsidRDefault="00A512CE" w:rsidP="008458D6">
      <w:pPr>
        <w:ind w:firstLine="36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621485" w:rsidRPr="002F720A">
        <w:rPr>
          <w:rFonts w:ascii="Palatino Linotype" w:hAnsi="Palatino Linotype"/>
          <w:sz w:val="28"/>
          <w:szCs w:val="28"/>
        </w:rPr>
        <w:t xml:space="preserve">Количество структурных подразделений кредитных финансовых организаций на </w:t>
      </w:r>
      <w:r w:rsidR="00C5773A" w:rsidRPr="002F720A">
        <w:rPr>
          <w:rFonts w:ascii="Palatino Linotype" w:hAnsi="Palatino Linotype"/>
          <w:sz w:val="28"/>
          <w:szCs w:val="28"/>
        </w:rPr>
        <w:t>конец отчетного года</w:t>
      </w:r>
      <w:r w:rsidR="00621485" w:rsidRPr="002F720A">
        <w:rPr>
          <w:rFonts w:ascii="Palatino Linotype" w:hAnsi="Palatino Linotype"/>
          <w:sz w:val="28"/>
          <w:szCs w:val="28"/>
        </w:rPr>
        <w:t xml:space="preserve"> составило 1 9</w:t>
      </w:r>
      <w:r w:rsidR="00C5773A" w:rsidRPr="002F720A">
        <w:rPr>
          <w:rFonts w:ascii="Palatino Linotype" w:hAnsi="Palatino Linotype"/>
          <w:sz w:val="28"/>
          <w:szCs w:val="28"/>
        </w:rPr>
        <w:t>60</w:t>
      </w:r>
      <w:r w:rsidR="00621485" w:rsidRPr="002F720A">
        <w:rPr>
          <w:rFonts w:ascii="Palatino Linotype" w:hAnsi="Palatino Linotype"/>
          <w:sz w:val="28"/>
          <w:szCs w:val="28"/>
        </w:rPr>
        <w:t xml:space="preserve"> единиц, </w:t>
      </w:r>
      <w:r w:rsidR="00A90300" w:rsidRPr="002F720A">
        <w:rPr>
          <w:rFonts w:ascii="Palatino Linotype" w:hAnsi="Palatino Linotype"/>
          <w:sz w:val="28"/>
          <w:szCs w:val="28"/>
        </w:rPr>
        <w:t xml:space="preserve">увеличившись по сравнению с аналогичной датой прошлого года </w:t>
      </w:r>
      <w:r w:rsidR="00621485" w:rsidRPr="002F720A">
        <w:rPr>
          <w:rFonts w:ascii="Palatino Linotype" w:hAnsi="Palatino Linotype"/>
          <w:sz w:val="28"/>
          <w:szCs w:val="28"/>
        </w:rPr>
        <w:t xml:space="preserve">на </w:t>
      </w:r>
      <w:r w:rsidR="00C5773A" w:rsidRPr="002F720A">
        <w:rPr>
          <w:rFonts w:ascii="Palatino Linotype" w:hAnsi="Palatino Linotype"/>
          <w:sz w:val="28"/>
          <w:szCs w:val="28"/>
        </w:rPr>
        <w:t>32</w:t>
      </w:r>
      <w:r w:rsidR="00621485" w:rsidRPr="002F720A">
        <w:rPr>
          <w:rFonts w:ascii="Palatino Linotype" w:hAnsi="Palatino Linotype"/>
          <w:sz w:val="28"/>
          <w:szCs w:val="28"/>
        </w:rPr>
        <w:t xml:space="preserve"> единицы</w:t>
      </w:r>
      <w:r w:rsidR="008458D6" w:rsidRPr="002F720A">
        <w:rPr>
          <w:rFonts w:ascii="Palatino Linotype" w:hAnsi="Palatino Linotype"/>
          <w:sz w:val="28"/>
          <w:szCs w:val="28"/>
        </w:rPr>
        <w:t xml:space="preserve">. </w:t>
      </w:r>
    </w:p>
    <w:p w14:paraId="101191B7" w14:textId="77777777" w:rsidR="008458D6" w:rsidRPr="002F720A" w:rsidRDefault="008458D6" w:rsidP="008458D6">
      <w:pPr>
        <w:ind w:firstLine="360"/>
        <w:jc w:val="both"/>
        <w:rPr>
          <w:rFonts w:ascii="Palatino Linotype" w:hAnsi="Palatino Linotype"/>
          <w:sz w:val="16"/>
          <w:szCs w:val="16"/>
        </w:rPr>
      </w:pPr>
    </w:p>
    <w:p w14:paraId="0D0FDB7F" w14:textId="77777777" w:rsidR="008458D6" w:rsidRPr="002F720A" w:rsidRDefault="00A90300" w:rsidP="008458D6">
      <w:pPr>
        <w:ind w:firstLine="360"/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lastRenderedPageBreak/>
        <w:t>О</w:t>
      </w:r>
      <w:r w:rsidR="008458D6" w:rsidRPr="002F720A">
        <w:rPr>
          <w:rFonts w:ascii="Palatino Linotype" w:hAnsi="Palatino Linotype"/>
          <w:b/>
          <w:sz w:val="28"/>
          <w:szCs w:val="28"/>
        </w:rPr>
        <w:t>бъем активов, обязательств и капитала</w:t>
      </w:r>
    </w:p>
    <w:p w14:paraId="34644B96" w14:textId="77777777" w:rsidR="008458D6" w:rsidRPr="002F720A" w:rsidRDefault="008458D6" w:rsidP="008458D6">
      <w:pPr>
        <w:ind w:firstLine="360"/>
        <w:jc w:val="center"/>
        <w:rPr>
          <w:rFonts w:ascii="Palatino Linotype" w:hAnsi="Palatino Linotype"/>
          <w:b/>
          <w:sz w:val="16"/>
          <w:szCs w:val="16"/>
        </w:rPr>
      </w:pPr>
    </w:p>
    <w:p w14:paraId="06B49908" w14:textId="77777777" w:rsidR="008458D6" w:rsidRPr="002F720A" w:rsidRDefault="008458D6" w:rsidP="008458D6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>Активы и обязательства кредитных финансовых организаций на</w:t>
      </w:r>
      <w:r w:rsidRPr="002F720A">
        <w:rPr>
          <w:rFonts w:ascii="Palatino Linotype" w:hAnsi="Palatino Linotype"/>
          <w:sz w:val="28"/>
          <w:szCs w:val="28"/>
        </w:rPr>
        <w:br/>
        <w:t xml:space="preserve"> конец </w:t>
      </w:r>
      <w:r w:rsidR="0060794C" w:rsidRPr="002F720A">
        <w:rPr>
          <w:rFonts w:ascii="Palatino Linotype" w:hAnsi="Palatino Linotype"/>
          <w:sz w:val="28"/>
          <w:szCs w:val="28"/>
        </w:rPr>
        <w:t>2025</w:t>
      </w:r>
      <w:r w:rsidRPr="002F720A">
        <w:rPr>
          <w:rFonts w:ascii="Palatino Linotype" w:hAnsi="Palatino Linotype"/>
          <w:sz w:val="28"/>
          <w:szCs w:val="28"/>
        </w:rPr>
        <w:t xml:space="preserve"> года </w:t>
      </w:r>
      <w:r w:rsidR="0060794C" w:rsidRPr="002F720A">
        <w:rPr>
          <w:rFonts w:ascii="Palatino Linotype" w:hAnsi="Palatino Linotype"/>
          <w:sz w:val="28"/>
          <w:szCs w:val="28"/>
        </w:rPr>
        <w:t>достигл</w:t>
      </w:r>
      <w:r w:rsidRPr="002F720A">
        <w:rPr>
          <w:rFonts w:ascii="Palatino Linotype" w:hAnsi="Palatino Linotype"/>
          <w:sz w:val="28"/>
          <w:szCs w:val="28"/>
        </w:rPr>
        <w:t xml:space="preserve">и </w:t>
      </w:r>
      <w:r w:rsidR="0060794C" w:rsidRPr="002F720A">
        <w:rPr>
          <w:rFonts w:ascii="Palatino Linotype" w:hAnsi="Palatino Linotype"/>
          <w:sz w:val="28"/>
          <w:szCs w:val="28"/>
        </w:rPr>
        <w:t>59</w:t>
      </w:r>
      <w:r w:rsidRPr="002F720A">
        <w:rPr>
          <w:rFonts w:ascii="Palatino Linotype" w:hAnsi="Palatino Linotype"/>
          <w:sz w:val="28"/>
          <w:szCs w:val="28"/>
        </w:rPr>
        <w:t xml:space="preserve">,2 млрд сомони и </w:t>
      </w:r>
      <w:r w:rsidR="00877D3F" w:rsidRPr="002F720A">
        <w:rPr>
          <w:rFonts w:ascii="Palatino Linotype" w:hAnsi="Palatino Linotype"/>
          <w:sz w:val="28"/>
          <w:szCs w:val="28"/>
        </w:rPr>
        <w:t>47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877D3F" w:rsidRPr="002F720A">
        <w:rPr>
          <w:rFonts w:ascii="Palatino Linotype" w:hAnsi="Palatino Linotype"/>
          <w:sz w:val="28"/>
          <w:szCs w:val="28"/>
        </w:rPr>
        <w:t>9</w:t>
      </w:r>
      <w:r w:rsidRPr="002F720A">
        <w:rPr>
          <w:rFonts w:ascii="Palatino Linotype" w:hAnsi="Palatino Linotype"/>
          <w:sz w:val="28"/>
          <w:szCs w:val="28"/>
        </w:rPr>
        <w:t xml:space="preserve"> млрд сомони, увеличившись по сравнению с аналогичной датой 202</w:t>
      </w:r>
      <w:r w:rsidR="00877D3F" w:rsidRPr="002F720A">
        <w:rPr>
          <w:rFonts w:ascii="Palatino Linotype" w:hAnsi="Palatino Linotype"/>
          <w:sz w:val="28"/>
          <w:szCs w:val="28"/>
        </w:rPr>
        <w:t>4</w:t>
      </w:r>
      <w:r w:rsidRPr="002F720A">
        <w:rPr>
          <w:rFonts w:ascii="Palatino Linotype" w:hAnsi="Palatino Linotype"/>
          <w:sz w:val="28"/>
          <w:szCs w:val="28"/>
        </w:rPr>
        <w:t xml:space="preserve"> года соответственно на </w:t>
      </w:r>
      <w:r w:rsidR="00877D3F" w:rsidRPr="002F720A">
        <w:rPr>
          <w:rFonts w:ascii="Palatino Linotype" w:hAnsi="Palatino Linotype"/>
          <w:sz w:val="28"/>
          <w:szCs w:val="28"/>
        </w:rPr>
        <w:t>24</w:t>
      </w:r>
      <w:r w:rsidRPr="002F720A">
        <w:rPr>
          <w:rFonts w:ascii="Palatino Linotype" w:hAnsi="Palatino Linotype"/>
          <w:sz w:val="28"/>
          <w:szCs w:val="28"/>
        </w:rPr>
        <w:t>,8</w:t>
      </w:r>
      <w:r w:rsidR="00877D3F" w:rsidRPr="002F720A">
        <w:rPr>
          <w:rFonts w:ascii="Palatino Linotype" w:hAnsi="Palatino Linotype"/>
          <w:sz w:val="28"/>
          <w:szCs w:val="28"/>
        </w:rPr>
        <w:t xml:space="preserve"> процента (или на 11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877D3F" w:rsidRPr="002F720A">
        <w:rPr>
          <w:rFonts w:ascii="Palatino Linotype" w:hAnsi="Palatino Linotype"/>
          <w:sz w:val="28"/>
          <w:szCs w:val="28"/>
        </w:rPr>
        <w:t>8</w:t>
      </w:r>
      <w:r w:rsidRPr="002F720A">
        <w:rPr>
          <w:rFonts w:ascii="Palatino Linotype" w:hAnsi="Palatino Linotype"/>
          <w:sz w:val="28"/>
          <w:szCs w:val="28"/>
        </w:rPr>
        <w:t xml:space="preserve"> млрд сомони) и </w:t>
      </w:r>
      <w:r w:rsidR="00877D3F" w:rsidRPr="002F720A">
        <w:rPr>
          <w:rFonts w:ascii="Palatino Linotype" w:hAnsi="Palatino Linotype"/>
          <w:sz w:val="28"/>
          <w:szCs w:val="28"/>
        </w:rPr>
        <w:t>24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877D3F" w:rsidRPr="002F720A">
        <w:rPr>
          <w:rFonts w:ascii="Palatino Linotype" w:hAnsi="Palatino Linotype"/>
          <w:sz w:val="28"/>
          <w:szCs w:val="28"/>
        </w:rPr>
        <w:t>4 процента (или на 9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877D3F" w:rsidRPr="002F720A">
        <w:rPr>
          <w:rFonts w:ascii="Palatino Linotype" w:hAnsi="Palatino Linotype"/>
          <w:sz w:val="28"/>
          <w:szCs w:val="28"/>
        </w:rPr>
        <w:t>4</w:t>
      </w:r>
      <w:r w:rsidRPr="002F720A">
        <w:rPr>
          <w:rFonts w:ascii="Palatino Linotype" w:hAnsi="Palatino Linotype"/>
          <w:sz w:val="28"/>
          <w:szCs w:val="28"/>
        </w:rPr>
        <w:t xml:space="preserve"> млрд сомони). </w:t>
      </w:r>
    </w:p>
    <w:p w14:paraId="595F6BB9" w14:textId="77777777" w:rsidR="008458D6" w:rsidRPr="002F720A" w:rsidRDefault="008458D6" w:rsidP="008458D6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 xml:space="preserve">Балансовый капитал кредитных финансовых организаций составил </w:t>
      </w:r>
      <w:r w:rsidR="00877D3F" w:rsidRPr="002F720A">
        <w:rPr>
          <w:rFonts w:ascii="Palatino Linotype" w:hAnsi="Palatino Linotype"/>
          <w:sz w:val="28"/>
          <w:szCs w:val="28"/>
        </w:rPr>
        <w:t>11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877D3F" w:rsidRPr="002F720A">
        <w:rPr>
          <w:rFonts w:ascii="Palatino Linotype" w:hAnsi="Palatino Linotype"/>
          <w:sz w:val="28"/>
          <w:szCs w:val="28"/>
        </w:rPr>
        <w:t>3</w:t>
      </w:r>
      <w:r w:rsidRPr="002F720A">
        <w:rPr>
          <w:rFonts w:ascii="Palatino Linotype" w:hAnsi="Palatino Linotype"/>
          <w:sz w:val="28"/>
          <w:szCs w:val="28"/>
        </w:rPr>
        <w:t xml:space="preserve"> млрд сомони, увеличившись по сравнению с аналогичной датой</w:t>
      </w:r>
      <w:r w:rsidR="001A0CE3" w:rsidRPr="002F720A">
        <w:rPr>
          <w:rFonts w:ascii="Palatino Linotype" w:hAnsi="Palatino Linotype"/>
          <w:sz w:val="28"/>
          <w:szCs w:val="28"/>
        </w:rPr>
        <w:t xml:space="preserve"> прошлого года на 2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1A0CE3" w:rsidRPr="002F720A">
        <w:rPr>
          <w:rFonts w:ascii="Palatino Linotype" w:hAnsi="Palatino Linotype"/>
          <w:sz w:val="28"/>
          <w:szCs w:val="28"/>
        </w:rPr>
        <w:t>3</w:t>
      </w:r>
      <w:r w:rsidRPr="002F720A">
        <w:rPr>
          <w:rFonts w:ascii="Palatino Linotype" w:hAnsi="Palatino Linotype"/>
          <w:sz w:val="28"/>
          <w:szCs w:val="28"/>
        </w:rPr>
        <w:t xml:space="preserve"> млрд сомони или на </w:t>
      </w:r>
      <w:r w:rsidR="001A0CE3" w:rsidRPr="002F720A">
        <w:rPr>
          <w:rFonts w:ascii="Palatino Linotype" w:hAnsi="Palatino Linotype"/>
          <w:sz w:val="28"/>
          <w:szCs w:val="28"/>
        </w:rPr>
        <w:t>26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1A0CE3" w:rsidRPr="002F720A">
        <w:rPr>
          <w:rFonts w:ascii="Palatino Linotype" w:hAnsi="Palatino Linotype"/>
          <w:sz w:val="28"/>
          <w:szCs w:val="28"/>
        </w:rPr>
        <w:t>2</w:t>
      </w:r>
      <w:r w:rsidRPr="002F720A">
        <w:rPr>
          <w:rFonts w:ascii="Palatino Linotype" w:hAnsi="Palatino Linotype"/>
          <w:sz w:val="28"/>
          <w:szCs w:val="28"/>
        </w:rPr>
        <w:t xml:space="preserve"> процента.</w:t>
      </w:r>
    </w:p>
    <w:p w14:paraId="3CB46B4E" w14:textId="77777777" w:rsidR="008458D6" w:rsidRPr="002F720A" w:rsidRDefault="008458D6" w:rsidP="001A0CE3">
      <w:pPr>
        <w:rPr>
          <w:rFonts w:ascii="Palatino Linotype" w:hAnsi="Palatino Linotype"/>
          <w:b/>
          <w:sz w:val="16"/>
          <w:szCs w:val="16"/>
        </w:rPr>
      </w:pPr>
    </w:p>
    <w:p w14:paraId="708553AB" w14:textId="77777777" w:rsidR="008458D6" w:rsidRPr="002F720A" w:rsidRDefault="00820E10" w:rsidP="008458D6">
      <w:pPr>
        <w:ind w:firstLine="708"/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>Д</w:t>
      </w:r>
      <w:r w:rsidR="008458D6" w:rsidRPr="002F720A">
        <w:rPr>
          <w:rFonts w:ascii="Palatino Linotype" w:hAnsi="Palatino Linotype"/>
          <w:b/>
          <w:sz w:val="28"/>
          <w:szCs w:val="28"/>
        </w:rPr>
        <w:t>епозит</w:t>
      </w:r>
      <w:r w:rsidRPr="002F720A">
        <w:rPr>
          <w:rFonts w:ascii="Palatino Linotype" w:hAnsi="Palatino Linotype"/>
          <w:b/>
          <w:sz w:val="28"/>
          <w:szCs w:val="28"/>
        </w:rPr>
        <w:t>ы</w:t>
      </w:r>
    </w:p>
    <w:p w14:paraId="45E7BA23" w14:textId="77777777" w:rsidR="008458D6" w:rsidRPr="002F720A" w:rsidRDefault="008458D6" w:rsidP="008458D6">
      <w:pPr>
        <w:ind w:firstLine="708"/>
        <w:jc w:val="center"/>
        <w:rPr>
          <w:rFonts w:ascii="Palatino Linotype" w:hAnsi="Palatino Linotype"/>
          <w:b/>
          <w:sz w:val="16"/>
          <w:szCs w:val="16"/>
        </w:rPr>
      </w:pPr>
    </w:p>
    <w:p w14:paraId="65DCA3A9" w14:textId="0AB9EE41" w:rsidR="008458D6" w:rsidRPr="002F720A" w:rsidRDefault="00A512CE" w:rsidP="008458D6">
      <w:pPr>
        <w:ind w:firstLine="36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820E10" w:rsidRPr="002F720A">
        <w:rPr>
          <w:rFonts w:ascii="Palatino Linotype" w:hAnsi="Palatino Linotype"/>
          <w:sz w:val="28"/>
          <w:szCs w:val="28"/>
        </w:rPr>
        <w:t xml:space="preserve">По состоянию на 31 декабря 2025 года </w:t>
      </w:r>
      <w:r w:rsidR="00572635" w:rsidRPr="002F720A">
        <w:rPr>
          <w:rFonts w:ascii="Palatino Linotype" w:hAnsi="Palatino Linotype"/>
          <w:sz w:val="28"/>
          <w:szCs w:val="28"/>
        </w:rPr>
        <w:t xml:space="preserve">общий объем остатков депозитов </w:t>
      </w:r>
      <w:r w:rsidR="008458D6" w:rsidRPr="002F720A">
        <w:rPr>
          <w:rFonts w:ascii="Palatino Linotype" w:hAnsi="Palatino Linotype"/>
          <w:sz w:val="28"/>
          <w:szCs w:val="28"/>
        </w:rPr>
        <w:t xml:space="preserve">составил </w:t>
      </w:r>
      <w:r w:rsidR="00101D2F" w:rsidRPr="002F720A">
        <w:rPr>
          <w:rFonts w:ascii="Palatino Linotype" w:hAnsi="Palatino Linotype"/>
          <w:sz w:val="28"/>
          <w:szCs w:val="28"/>
        </w:rPr>
        <w:t>33</w:t>
      </w:r>
      <w:r w:rsidR="008458D6" w:rsidRPr="002F720A">
        <w:rPr>
          <w:rFonts w:ascii="Palatino Linotype" w:hAnsi="Palatino Linotype"/>
          <w:sz w:val="28"/>
          <w:szCs w:val="28"/>
        </w:rPr>
        <w:t>,</w:t>
      </w:r>
      <w:r w:rsidR="00101D2F" w:rsidRPr="002F720A">
        <w:rPr>
          <w:rFonts w:ascii="Palatino Linotype" w:hAnsi="Palatino Linotype"/>
          <w:sz w:val="28"/>
          <w:szCs w:val="28"/>
        </w:rPr>
        <w:t>9</w:t>
      </w:r>
      <w:r w:rsidR="008458D6" w:rsidRPr="002F720A">
        <w:rPr>
          <w:rFonts w:ascii="Palatino Linotype" w:hAnsi="Palatino Linotype"/>
          <w:sz w:val="28"/>
          <w:szCs w:val="28"/>
        </w:rPr>
        <w:t xml:space="preserve"> млрд сомони, увеличившись по сравнению с аналогичной датой </w:t>
      </w:r>
      <w:r w:rsidR="00101D2F" w:rsidRPr="002F720A">
        <w:rPr>
          <w:rFonts w:ascii="Palatino Linotype" w:hAnsi="Palatino Linotype"/>
          <w:sz w:val="28"/>
          <w:szCs w:val="28"/>
        </w:rPr>
        <w:t>прошлого</w:t>
      </w:r>
      <w:r w:rsidR="008458D6" w:rsidRPr="002F720A">
        <w:rPr>
          <w:rFonts w:ascii="Palatino Linotype" w:hAnsi="Palatino Linotype"/>
          <w:sz w:val="28"/>
          <w:szCs w:val="28"/>
        </w:rPr>
        <w:t xml:space="preserve"> года на </w:t>
      </w:r>
      <w:r w:rsidR="00101D2F" w:rsidRPr="002F720A">
        <w:rPr>
          <w:rFonts w:ascii="Palatino Linotype" w:hAnsi="Palatino Linotype"/>
          <w:sz w:val="28"/>
          <w:szCs w:val="28"/>
        </w:rPr>
        <w:t>8</w:t>
      </w:r>
      <w:r w:rsidR="008458D6" w:rsidRPr="002F720A">
        <w:rPr>
          <w:rFonts w:ascii="Palatino Linotype" w:hAnsi="Palatino Linotype"/>
          <w:sz w:val="28"/>
          <w:szCs w:val="28"/>
        </w:rPr>
        <w:t>,</w:t>
      </w:r>
      <w:r w:rsidR="00101D2F" w:rsidRPr="002F720A">
        <w:rPr>
          <w:rFonts w:ascii="Palatino Linotype" w:hAnsi="Palatino Linotype"/>
          <w:sz w:val="28"/>
          <w:szCs w:val="28"/>
        </w:rPr>
        <w:t>4 млрд сомони или на 32,8 процента.</w:t>
      </w:r>
      <w:r w:rsidR="008458D6" w:rsidRPr="002F720A">
        <w:rPr>
          <w:rFonts w:ascii="Palatino Linotype" w:hAnsi="Palatino Linotype"/>
          <w:sz w:val="28"/>
          <w:szCs w:val="28"/>
        </w:rPr>
        <w:t xml:space="preserve"> </w:t>
      </w:r>
    </w:p>
    <w:p w14:paraId="5C7F6728" w14:textId="19F5F135" w:rsidR="008458D6" w:rsidRPr="002F720A" w:rsidRDefault="00A512CE" w:rsidP="008458D6">
      <w:pPr>
        <w:ind w:firstLine="36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D3032B" w:rsidRPr="002F720A">
        <w:rPr>
          <w:rFonts w:ascii="Palatino Linotype" w:hAnsi="Palatino Linotype"/>
          <w:sz w:val="28"/>
          <w:szCs w:val="28"/>
        </w:rPr>
        <w:t>Д</w:t>
      </w:r>
      <w:r w:rsidR="008458D6" w:rsidRPr="002F720A">
        <w:rPr>
          <w:rFonts w:ascii="Palatino Linotype" w:hAnsi="Palatino Linotype"/>
          <w:sz w:val="28"/>
          <w:szCs w:val="28"/>
        </w:rPr>
        <w:t xml:space="preserve">оля депозитов в национальной валюте в общем объёме остатков депозитов составляет </w:t>
      </w:r>
      <w:r w:rsidR="00D3032B" w:rsidRPr="002F720A">
        <w:rPr>
          <w:rFonts w:ascii="Palatino Linotype" w:hAnsi="Palatino Linotype"/>
          <w:sz w:val="28"/>
          <w:szCs w:val="28"/>
        </w:rPr>
        <w:t>62</w:t>
      </w:r>
      <w:r w:rsidR="008458D6" w:rsidRPr="002F720A">
        <w:rPr>
          <w:rFonts w:ascii="Palatino Linotype" w:hAnsi="Palatino Linotype"/>
          <w:sz w:val="28"/>
          <w:szCs w:val="28"/>
        </w:rPr>
        <w:t>,</w:t>
      </w:r>
      <w:r w:rsidR="00D3032B" w:rsidRPr="002F720A">
        <w:rPr>
          <w:rFonts w:ascii="Palatino Linotype" w:hAnsi="Palatino Linotype"/>
          <w:sz w:val="28"/>
          <w:szCs w:val="28"/>
        </w:rPr>
        <w:t>5</w:t>
      </w:r>
      <w:r w:rsidR="008458D6" w:rsidRPr="002F720A">
        <w:rPr>
          <w:rFonts w:ascii="Palatino Linotype" w:hAnsi="Palatino Linotype"/>
          <w:sz w:val="28"/>
          <w:szCs w:val="28"/>
        </w:rPr>
        <w:t xml:space="preserve"> процента </w:t>
      </w:r>
      <w:r w:rsidR="00967534" w:rsidRPr="002F720A">
        <w:rPr>
          <w:rFonts w:ascii="Palatino Linotype" w:hAnsi="Palatino Linotype"/>
          <w:sz w:val="28"/>
          <w:szCs w:val="28"/>
        </w:rPr>
        <w:t xml:space="preserve">в национальной валюте </w:t>
      </w:r>
      <w:r w:rsidR="008458D6" w:rsidRPr="002F720A">
        <w:rPr>
          <w:rFonts w:ascii="Palatino Linotype" w:hAnsi="Palatino Linotype"/>
          <w:sz w:val="28"/>
          <w:szCs w:val="28"/>
        </w:rPr>
        <w:t xml:space="preserve">и </w:t>
      </w:r>
      <w:r w:rsidR="00967534" w:rsidRPr="002F720A">
        <w:rPr>
          <w:rFonts w:ascii="Palatino Linotype" w:hAnsi="Palatino Linotype"/>
          <w:sz w:val="28"/>
          <w:szCs w:val="28"/>
        </w:rPr>
        <w:t xml:space="preserve">37,5 процента </w:t>
      </w:r>
      <w:r w:rsidR="008458D6" w:rsidRPr="002F720A">
        <w:rPr>
          <w:rFonts w:ascii="Palatino Linotype" w:hAnsi="Palatino Linotype"/>
          <w:sz w:val="28"/>
          <w:szCs w:val="28"/>
        </w:rPr>
        <w:t>в иностранной валюте.</w:t>
      </w:r>
    </w:p>
    <w:p w14:paraId="1EA53E6D" w14:textId="77777777" w:rsidR="008458D6" w:rsidRPr="002F720A" w:rsidRDefault="008458D6" w:rsidP="008458D6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 xml:space="preserve">В структуре общего остатка депозитов депозиты юридических лиц составляют </w:t>
      </w:r>
      <w:r w:rsidR="00967534" w:rsidRPr="002F720A">
        <w:rPr>
          <w:rFonts w:ascii="Palatino Linotype" w:hAnsi="Palatino Linotype"/>
          <w:sz w:val="28"/>
          <w:szCs w:val="28"/>
        </w:rPr>
        <w:t>14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967534" w:rsidRPr="002F720A">
        <w:rPr>
          <w:rFonts w:ascii="Palatino Linotype" w:hAnsi="Palatino Linotype"/>
          <w:sz w:val="28"/>
          <w:szCs w:val="28"/>
        </w:rPr>
        <w:t>7</w:t>
      </w:r>
      <w:r w:rsidRPr="002F720A">
        <w:rPr>
          <w:rFonts w:ascii="Palatino Linotype" w:hAnsi="Palatino Linotype"/>
          <w:sz w:val="28"/>
          <w:szCs w:val="28"/>
        </w:rPr>
        <w:t xml:space="preserve"> млрд сомони или </w:t>
      </w:r>
      <w:r w:rsidR="00967534" w:rsidRPr="002F720A">
        <w:rPr>
          <w:rFonts w:ascii="Palatino Linotype" w:hAnsi="Palatino Linotype"/>
          <w:sz w:val="28"/>
          <w:szCs w:val="28"/>
        </w:rPr>
        <w:t>43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967534" w:rsidRPr="002F720A">
        <w:rPr>
          <w:rFonts w:ascii="Palatino Linotype" w:hAnsi="Palatino Linotype"/>
          <w:sz w:val="28"/>
          <w:szCs w:val="28"/>
        </w:rPr>
        <w:t>5</w:t>
      </w:r>
      <w:r w:rsidRPr="002F720A">
        <w:rPr>
          <w:rFonts w:ascii="Palatino Linotype" w:hAnsi="Palatino Linotype"/>
          <w:sz w:val="28"/>
          <w:szCs w:val="28"/>
        </w:rPr>
        <w:t xml:space="preserve"> процента и депозиты физических лиц </w:t>
      </w:r>
      <w:r w:rsidR="00967534" w:rsidRPr="002F720A">
        <w:rPr>
          <w:rFonts w:ascii="Palatino Linotype" w:hAnsi="Palatino Linotype"/>
          <w:sz w:val="28"/>
          <w:szCs w:val="28"/>
        </w:rPr>
        <w:t>19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967534" w:rsidRPr="002F720A">
        <w:rPr>
          <w:rFonts w:ascii="Palatino Linotype" w:hAnsi="Palatino Linotype"/>
          <w:sz w:val="28"/>
          <w:szCs w:val="28"/>
        </w:rPr>
        <w:t>2</w:t>
      </w:r>
      <w:r w:rsidRPr="002F720A">
        <w:rPr>
          <w:rFonts w:ascii="Palatino Linotype" w:hAnsi="Palatino Linotype"/>
          <w:sz w:val="28"/>
          <w:szCs w:val="28"/>
        </w:rPr>
        <w:t xml:space="preserve"> млрд сомони или 5</w:t>
      </w:r>
      <w:r w:rsidR="00967534" w:rsidRPr="002F720A">
        <w:rPr>
          <w:rFonts w:ascii="Palatino Linotype" w:hAnsi="Palatino Linotype"/>
          <w:sz w:val="28"/>
          <w:szCs w:val="28"/>
        </w:rPr>
        <w:t xml:space="preserve">6,5 </w:t>
      </w:r>
      <w:r w:rsidRPr="002F720A">
        <w:rPr>
          <w:rFonts w:ascii="Palatino Linotype" w:hAnsi="Palatino Linotype"/>
          <w:sz w:val="28"/>
          <w:szCs w:val="28"/>
        </w:rPr>
        <w:t>процента.</w:t>
      </w:r>
    </w:p>
    <w:p w14:paraId="4458ADB8" w14:textId="77777777" w:rsidR="00967534" w:rsidRPr="002F720A" w:rsidRDefault="00967534" w:rsidP="008458D6">
      <w:pPr>
        <w:ind w:firstLine="708"/>
        <w:jc w:val="both"/>
        <w:rPr>
          <w:rFonts w:ascii="Palatino Linotype" w:hAnsi="Palatino Linotype"/>
          <w:sz w:val="16"/>
          <w:szCs w:val="16"/>
        </w:rPr>
      </w:pPr>
    </w:p>
    <w:p w14:paraId="190D48AF" w14:textId="17EA28E2" w:rsidR="00BC459C" w:rsidRDefault="00BC459C" w:rsidP="00BC459C">
      <w:pPr>
        <w:jc w:val="center"/>
        <w:rPr>
          <w:rFonts w:ascii="Palatino Linotype" w:hAnsi="Palatino Linotype"/>
          <w:b/>
          <w:sz w:val="16"/>
          <w:szCs w:val="16"/>
        </w:rPr>
      </w:pPr>
      <w:r w:rsidRPr="002F720A">
        <w:rPr>
          <w:rFonts w:ascii="Palatino Linotype" w:hAnsi="Palatino Linotype"/>
          <w:b/>
          <w:sz w:val="28"/>
          <w:szCs w:val="28"/>
        </w:rPr>
        <w:t>Выданные кредиты и остаток кредитного портфеля</w:t>
      </w:r>
    </w:p>
    <w:p w14:paraId="0D2F2592" w14:textId="77777777" w:rsidR="002F720A" w:rsidRPr="002F720A" w:rsidRDefault="002F720A" w:rsidP="00BC459C">
      <w:pPr>
        <w:jc w:val="center"/>
        <w:rPr>
          <w:rFonts w:ascii="Palatino Linotype" w:hAnsi="Palatino Linotype"/>
          <w:b/>
          <w:sz w:val="16"/>
          <w:szCs w:val="16"/>
        </w:rPr>
      </w:pPr>
    </w:p>
    <w:p w14:paraId="2DAA1713" w14:textId="77777777" w:rsidR="008458D6" w:rsidRPr="002F720A" w:rsidRDefault="008458D6" w:rsidP="00122D81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 xml:space="preserve">Объем кредитов, выданных за </w:t>
      </w:r>
      <w:r w:rsidR="00C02B7A" w:rsidRPr="002F720A">
        <w:rPr>
          <w:rFonts w:ascii="Palatino Linotype" w:hAnsi="Palatino Linotype"/>
          <w:sz w:val="28"/>
          <w:szCs w:val="28"/>
        </w:rPr>
        <w:t>2025</w:t>
      </w:r>
      <w:r w:rsidRPr="002F720A">
        <w:rPr>
          <w:rFonts w:ascii="Palatino Linotype" w:hAnsi="Palatino Linotype"/>
          <w:sz w:val="28"/>
          <w:szCs w:val="28"/>
        </w:rPr>
        <w:t xml:space="preserve"> год, составил </w:t>
      </w:r>
      <w:r w:rsidR="00122D81" w:rsidRPr="002F720A">
        <w:rPr>
          <w:rFonts w:ascii="Palatino Linotype" w:hAnsi="Palatino Linotype"/>
          <w:sz w:val="28"/>
          <w:szCs w:val="28"/>
        </w:rPr>
        <w:t>3</w:t>
      </w:r>
      <w:r w:rsidRPr="002F720A">
        <w:rPr>
          <w:rFonts w:ascii="Palatino Linotype" w:hAnsi="Palatino Linotype"/>
          <w:sz w:val="28"/>
          <w:szCs w:val="28"/>
        </w:rPr>
        <w:t>0,</w:t>
      </w:r>
      <w:r w:rsidR="00122D81" w:rsidRPr="002F720A">
        <w:rPr>
          <w:rFonts w:ascii="Palatino Linotype" w:hAnsi="Palatino Linotype"/>
          <w:sz w:val="28"/>
          <w:szCs w:val="28"/>
        </w:rPr>
        <w:t>0</w:t>
      </w:r>
      <w:r w:rsidRPr="002F720A">
        <w:rPr>
          <w:rFonts w:ascii="Palatino Linotype" w:hAnsi="Palatino Linotype"/>
          <w:sz w:val="28"/>
          <w:szCs w:val="28"/>
        </w:rPr>
        <w:t xml:space="preserve"> млрд сомони, что по сравнению с прошл</w:t>
      </w:r>
      <w:r w:rsidR="00122D81" w:rsidRPr="002F720A">
        <w:rPr>
          <w:rFonts w:ascii="Palatino Linotype" w:hAnsi="Palatino Linotype"/>
          <w:sz w:val="28"/>
          <w:szCs w:val="28"/>
        </w:rPr>
        <w:t>ым годом</w:t>
      </w:r>
      <w:r w:rsidRPr="002F720A">
        <w:rPr>
          <w:rFonts w:ascii="Palatino Linotype" w:hAnsi="Palatino Linotype"/>
          <w:sz w:val="28"/>
          <w:szCs w:val="28"/>
        </w:rPr>
        <w:t xml:space="preserve"> больше на </w:t>
      </w:r>
      <w:r w:rsidR="00122D81" w:rsidRPr="002F720A">
        <w:rPr>
          <w:rFonts w:ascii="Palatino Linotype" w:hAnsi="Palatino Linotype"/>
          <w:sz w:val="28"/>
          <w:szCs w:val="28"/>
        </w:rPr>
        <w:t>22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122D81" w:rsidRPr="002F720A">
        <w:rPr>
          <w:rFonts w:ascii="Palatino Linotype" w:hAnsi="Palatino Linotype"/>
          <w:sz w:val="28"/>
          <w:szCs w:val="28"/>
        </w:rPr>
        <w:t>1</w:t>
      </w:r>
      <w:r w:rsidRPr="002F720A">
        <w:rPr>
          <w:rFonts w:ascii="Palatino Linotype" w:hAnsi="Palatino Linotype"/>
          <w:sz w:val="28"/>
          <w:szCs w:val="28"/>
        </w:rPr>
        <w:t xml:space="preserve"> процента.</w:t>
      </w:r>
      <w:r w:rsidR="00122D81" w:rsidRPr="002F720A">
        <w:rPr>
          <w:rFonts w:ascii="Palatino Linotype" w:hAnsi="Palatino Linotype"/>
          <w:sz w:val="28"/>
          <w:szCs w:val="28"/>
        </w:rPr>
        <w:t xml:space="preserve"> </w:t>
      </w:r>
      <w:r w:rsidRPr="002F720A">
        <w:rPr>
          <w:rFonts w:ascii="Palatino Linotype" w:hAnsi="Palatino Linotype"/>
          <w:sz w:val="28"/>
          <w:szCs w:val="28"/>
        </w:rPr>
        <w:t xml:space="preserve">Из общего объема </w:t>
      </w:r>
      <w:r w:rsidR="00122D81" w:rsidRPr="002F720A">
        <w:rPr>
          <w:rFonts w:ascii="Palatino Linotype" w:hAnsi="Palatino Linotype"/>
          <w:sz w:val="28"/>
          <w:szCs w:val="28"/>
        </w:rPr>
        <w:t>выданных кредитов 42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122D81" w:rsidRPr="002F720A">
        <w:rPr>
          <w:rFonts w:ascii="Palatino Linotype" w:hAnsi="Palatino Linotype"/>
          <w:sz w:val="28"/>
          <w:szCs w:val="28"/>
        </w:rPr>
        <w:t>6</w:t>
      </w:r>
      <w:r w:rsidRPr="002F720A">
        <w:rPr>
          <w:rFonts w:ascii="Palatino Linotype" w:hAnsi="Palatino Linotype"/>
          <w:sz w:val="28"/>
          <w:szCs w:val="28"/>
        </w:rPr>
        <w:t xml:space="preserve"> процента при</w:t>
      </w:r>
      <w:r w:rsidR="00DB5259" w:rsidRPr="002F720A">
        <w:rPr>
          <w:rFonts w:ascii="Palatino Linotype" w:hAnsi="Palatino Linotype"/>
          <w:sz w:val="28"/>
          <w:szCs w:val="28"/>
        </w:rPr>
        <w:t>ходится на сферу потребления, 13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DB5259" w:rsidRPr="002F720A">
        <w:rPr>
          <w:rFonts w:ascii="Palatino Linotype" w:hAnsi="Palatino Linotype"/>
          <w:sz w:val="28"/>
          <w:szCs w:val="28"/>
        </w:rPr>
        <w:t>4</w:t>
      </w:r>
      <w:r w:rsidRPr="002F720A">
        <w:rPr>
          <w:rFonts w:ascii="Palatino Linotype" w:hAnsi="Palatino Linotype"/>
          <w:sz w:val="28"/>
          <w:szCs w:val="28"/>
        </w:rPr>
        <w:t xml:space="preserve"> процента </w:t>
      </w:r>
      <w:r w:rsidR="00DB5259" w:rsidRPr="002F720A">
        <w:rPr>
          <w:rFonts w:ascii="Palatino Linotype" w:hAnsi="Palatino Linotype"/>
          <w:sz w:val="28"/>
          <w:szCs w:val="28"/>
        </w:rPr>
        <w:t>торго</w:t>
      </w:r>
      <w:r w:rsidR="00F71D00" w:rsidRPr="002F720A">
        <w:rPr>
          <w:rFonts w:ascii="Palatino Linotype" w:hAnsi="Palatino Linotype"/>
          <w:sz w:val="28"/>
          <w:szCs w:val="28"/>
        </w:rPr>
        <w:t>влю и общественное питание, 11,</w:t>
      </w:r>
      <w:r w:rsidR="00DB5259" w:rsidRPr="002F720A">
        <w:rPr>
          <w:rFonts w:ascii="Palatino Linotype" w:hAnsi="Palatino Linotype"/>
          <w:sz w:val="28"/>
          <w:szCs w:val="28"/>
        </w:rPr>
        <w:t xml:space="preserve">8 процента </w:t>
      </w:r>
      <w:r w:rsidRPr="002F720A">
        <w:rPr>
          <w:rFonts w:ascii="Palatino Linotype" w:hAnsi="Palatino Linotype"/>
          <w:sz w:val="28"/>
          <w:szCs w:val="28"/>
        </w:rPr>
        <w:t xml:space="preserve">на сельское хозяйство, </w:t>
      </w:r>
      <w:r w:rsidR="00F71D00" w:rsidRPr="002F720A">
        <w:rPr>
          <w:rFonts w:ascii="Palatino Linotype" w:hAnsi="Palatino Linotype"/>
          <w:sz w:val="28"/>
          <w:szCs w:val="28"/>
        </w:rPr>
        <w:t>8,3</w:t>
      </w:r>
      <w:r w:rsidRPr="002F720A">
        <w:rPr>
          <w:rFonts w:ascii="Palatino Linotype" w:hAnsi="Palatino Linotype"/>
          <w:sz w:val="28"/>
          <w:szCs w:val="28"/>
        </w:rPr>
        <w:t xml:space="preserve"> процента на промышленность, 7,1 процента на сферу обслуживания, </w:t>
      </w:r>
      <w:r w:rsidR="00F71D00" w:rsidRPr="002F720A">
        <w:rPr>
          <w:rFonts w:ascii="Palatino Linotype" w:hAnsi="Palatino Linotype"/>
          <w:sz w:val="28"/>
          <w:szCs w:val="28"/>
        </w:rPr>
        <w:t>6,1 процента на ипотеку, 4</w:t>
      </w:r>
      <w:r w:rsidRPr="002F720A">
        <w:rPr>
          <w:rFonts w:ascii="Palatino Linotype" w:hAnsi="Palatino Linotype"/>
          <w:sz w:val="28"/>
          <w:szCs w:val="28"/>
        </w:rPr>
        <w:t xml:space="preserve">,5 процента на строительство, </w:t>
      </w:r>
      <w:r w:rsidR="00F71D00" w:rsidRPr="002F720A">
        <w:rPr>
          <w:rFonts w:ascii="Palatino Linotype" w:hAnsi="Palatino Linotype"/>
          <w:sz w:val="28"/>
          <w:szCs w:val="28"/>
        </w:rPr>
        <w:t>6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F71D00" w:rsidRPr="002F720A">
        <w:rPr>
          <w:rFonts w:ascii="Palatino Linotype" w:hAnsi="Palatino Linotype"/>
          <w:sz w:val="28"/>
          <w:szCs w:val="28"/>
        </w:rPr>
        <w:t>2</w:t>
      </w:r>
      <w:r w:rsidRPr="002F720A">
        <w:rPr>
          <w:rFonts w:ascii="Palatino Linotype" w:hAnsi="Palatino Linotype"/>
          <w:sz w:val="28"/>
          <w:szCs w:val="28"/>
        </w:rPr>
        <w:t xml:space="preserve"> процента на другие с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>фе</w:t>
      </w:r>
      <w:r w:rsidRPr="002F720A">
        <w:rPr>
          <w:rFonts w:ascii="Palatino Linotype" w:hAnsi="Palatino Linotype"/>
          <w:sz w:val="28"/>
          <w:szCs w:val="28"/>
        </w:rPr>
        <w:t>ры.</w:t>
      </w:r>
    </w:p>
    <w:p w14:paraId="714401E6" w14:textId="77777777" w:rsidR="008458D6" w:rsidRPr="002F720A" w:rsidRDefault="008458D6" w:rsidP="008458D6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Также следует отметить, что из общего объема </w:t>
      </w:r>
      <w:r w:rsidR="009A12C3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выданных 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>кредитов</w:t>
      </w:r>
      <w:r w:rsidR="009A12C3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27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>,</w:t>
      </w:r>
      <w:r w:rsidR="009A12C3" w:rsidRPr="002F720A">
        <w:rPr>
          <w:rFonts w:ascii="Palatino Linotype" w:hAnsi="Palatino Linotype"/>
          <w:color w:val="000000" w:themeColor="text1"/>
          <w:sz w:val="28"/>
          <w:szCs w:val="28"/>
        </w:rPr>
        <w:t>4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процента </w:t>
      </w:r>
      <w:r w:rsidRPr="002F720A">
        <w:rPr>
          <w:rFonts w:ascii="Palatino Linotype" w:hAnsi="Palatino Linotype"/>
          <w:sz w:val="28"/>
          <w:szCs w:val="28"/>
        </w:rPr>
        <w:t xml:space="preserve">приходится на производственное предпринимательство, что составляет </w:t>
      </w:r>
      <w:r w:rsidR="009A12C3" w:rsidRPr="002F720A">
        <w:rPr>
          <w:rFonts w:ascii="Palatino Linotype" w:hAnsi="Palatino Linotype"/>
          <w:sz w:val="28"/>
          <w:szCs w:val="28"/>
        </w:rPr>
        <w:t>8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9A12C3" w:rsidRPr="002F720A">
        <w:rPr>
          <w:rFonts w:ascii="Palatino Linotype" w:hAnsi="Palatino Linotype"/>
          <w:sz w:val="28"/>
          <w:szCs w:val="28"/>
        </w:rPr>
        <w:t>2</w:t>
      </w:r>
      <w:r w:rsidRPr="002F720A">
        <w:rPr>
          <w:rFonts w:ascii="Palatino Linotype" w:hAnsi="Palatino Linotype"/>
          <w:sz w:val="28"/>
          <w:szCs w:val="28"/>
        </w:rPr>
        <w:t xml:space="preserve"> млрд сомони.</w:t>
      </w:r>
    </w:p>
    <w:p w14:paraId="5909D821" w14:textId="77777777" w:rsidR="008458D6" w:rsidRPr="002F720A" w:rsidRDefault="008458D6" w:rsidP="008458D6">
      <w:pPr>
        <w:ind w:firstLine="708"/>
        <w:jc w:val="both"/>
        <w:rPr>
          <w:rFonts w:ascii="Palatino Linotype" w:hAnsi="Palatino Linotype"/>
          <w:color w:val="000000" w:themeColor="text1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 xml:space="preserve">Объём выданных микрокредитов за отчетный </w:t>
      </w:r>
      <w:r w:rsidR="009A12C3" w:rsidRPr="002F720A">
        <w:rPr>
          <w:rFonts w:ascii="Palatino Linotype" w:hAnsi="Palatino Linotype"/>
          <w:sz w:val="28"/>
          <w:szCs w:val="28"/>
        </w:rPr>
        <w:t>го</w:t>
      </w:r>
      <w:r w:rsidRPr="002F720A">
        <w:rPr>
          <w:rFonts w:ascii="Palatino Linotype" w:hAnsi="Palatino Linotype"/>
          <w:sz w:val="28"/>
          <w:szCs w:val="28"/>
        </w:rPr>
        <w:t xml:space="preserve">д составил </w:t>
      </w:r>
      <w:r w:rsidR="009A12C3" w:rsidRPr="002F720A">
        <w:rPr>
          <w:rFonts w:ascii="Palatino Linotype" w:hAnsi="Palatino Linotype"/>
          <w:sz w:val="28"/>
          <w:szCs w:val="28"/>
        </w:rPr>
        <w:t>22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9A12C3" w:rsidRPr="002F720A">
        <w:rPr>
          <w:rFonts w:ascii="Palatino Linotype" w:hAnsi="Palatino Linotype"/>
          <w:sz w:val="28"/>
          <w:szCs w:val="28"/>
        </w:rPr>
        <w:t>0</w:t>
      </w:r>
      <w:r w:rsidRPr="002F720A">
        <w:rPr>
          <w:rFonts w:ascii="Palatino Linotype" w:hAnsi="Palatino Linotype"/>
          <w:sz w:val="28"/>
          <w:szCs w:val="28"/>
        </w:rPr>
        <w:t xml:space="preserve"> млрд сомони, увеличившись по сравнению с </w:t>
      </w:r>
      <w:r w:rsidR="009A12C3" w:rsidRPr="002F720A">
        <w:rPr>
          <w:rFonts w:ascii="Palatino Linotype" w:hAnsi="Palatino Linotype"/>
          <w:color w:val="000000" w:themeColor="text1"/>
          <w:sz w:val="28"/>
          <w:szCs w:val="28"/>
        </w:rPr>
        <w:t>прошлым годом на 23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>,</w:t>
      </w:r>
      <w:r w:rsidR="009A12C3" w:rsidRPr="002F720A">
        <w:rPr>
          <w:rFonts w:ascii="Palatino Linotype" w:hAnsi="Palatino Linotype"/>
          <w:color w:val="000000" w:themeColor="text1"/>
          <w:sz w:val="28"/>
          <w:szCs w:val="28"/>
        </w:rPr>
        <w:t>5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процента.</w:t>
      </w:r>
    </w:p>
    <w:p w14:paraId="69B54254" w14:textId="77777777" w:rsidR="008458D6" w:rsidRPr="002F720A" w:rsidRDefault="008458D6" w:rsidP="008458D6">
      <w:pPr>
        <w:ind w:firstLine="360"/>
        <w:jc w:val="both"/>
        <w:rPr>
          <w:rFonts w:ascii="Palatino Linotype" w:hAnsi="Palatino Linotype"/>
          <w:color w:val="000000" w:themeColor="text1"/>
          <w:sz w:val="28"/>
          <w:szCs w:val="28"/>
        </w:rPr>
      </w:pPr>
      <w:r w:rsidRPr="002F720A">
        <w:rPr>
          <w:rFonts w:ascii="Palatino Linotype" w:hAnsi="Palatino Linotype"/>
          <w:color w:val="000000" w:themeColor="text1"/>
          <w:sz w:val="28"/>
          <w:szCs w:val="28"/>
        </w:rPr>
        <w:lastRenderedPageBreak/>
        <w:t xml:space="preserve">Средневзвешенная процентная ставка по кредитам за </w:t>
      </w:r>
      <w:r w:rsidR="009A12C3" w:rsidRPr="002F720A">
        <w:rPr>
          <w:rFonts w:ascii="Palatino Linotype" w:hAnsi="Palatino Linotype"/>
          <w:color w:val="000000" w:themeColor="text1"/>
          <w:sz w:val="28"/>
          <w:szCs w:val="28"/>
        </w:rPr>
        <w:t>этот период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</w:t>
      </w:r>
      <w:r w:rsidR="009A12C3" w:rsidRPr="002F720A">
        <w:rPr>
          <w:rFonts w:ascii="Palatino Linotype" w:hAnsi="Palatino Linotype"/>
          <w:color w:val="000000" w:themeColor="text1"/>
          <w:sz w:val="28"/>
          <w:szCs w:val="28"/>
        </w:rPr>
        <w:t>в национальной валюте составила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</w:t>
      </w:r>
      <w:r w:rsidR="009A12C3" w:rsidRPr="002F720A">
        <w:rPr>
          <w:rFonts w:ascii="Palatino Linotype" w:hAnsi="Palatino Linotype"/>
          <w:color w:val="000000" w:themeColor="text1"/>
          <w:sz w:val="28"/>
          <w:szCs w:val="28"/>
        </w:rPr>
        <w:t>22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>,</w:t>
      </w:r>
      <w:r w:rsidR="009A12C3" w:rsidRPr="002F720A">
        <w:rPr>
          <w:rFonts w:ascii="Palatino Linotype" w:hAnsi="Palatino Linotype"/>
          <w:color w:val="000000" w:themeColor="text1"/>
          <w:sz w:val="28"/>
          <w:szCs w:val="28"/>
        </w:rPr>
        <w:t>6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процента, в иностранно</w:t>
      </w:r>
      <w:r w:rsidR="00915210" w:rsidRPr="002F720A">
        <w:rPr>
          <w:rFonts w:ascii="Palatino Linotype" w:hAnsi="Palatino Linotype"/>
          <w:color w:val="000000" w:themeColor="text1"/>
          <w:sz w:val="28"/>
          <w:szCs w:val="28"/>
        </w:rPr>
        <w:t>й валюте 11,7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процента.</w:t>
      </w:r>
    </w:p>
    <w:p w14:paraId="69BE7046" w14:textId="77777777" w:rsidR="00915210" w:rsidRPr="002F720A" w:rsidRDefault="002436E1" w:rsidP="008458D6">
      <w:pPr>
        <w:ind w:firstLine="360"/>
        <w:jc w:val="both"/>
        <w:rPr>
          <w:rFonts w:ascii="Palatino Linotype" w:hAnsi="Palatino Linotype"/>
          <w:color w:val="000000" w:themeColor="text1"/>
          <w:sz w:val="28"/>
          <w:szCs w:val="28"/>
        </w:rPr>
      </w:pP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Общий остаток кредитного портфеля кредитных финансовых организаций на </w:t>
      </w:r>
      <w:r w:rsidR="007C48A1" w:rsidRPr="002F720A">
        <w:rPr>
          <w:rFonts w:ascii="Palatino Linotype" w:hAnsi="Palatino Linotype"/>
          <w:color w:val="000000" w:themeColor="text1"/>
          <w:sz w:val="28"/>
          <w:szCs w:val="28"/>
        </w:rPr>
        <w:t>конец отчётного года составил 26,1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млрд сомони, увеличи</w:t>
      </w:r>
      <w:r w:rsidR="007C48A1" w:rsidRPr="002F720A">
        <w:rPr>
          <w:rFonts w:ascii="Palatino Linotype" w:hAnsi="Palatino Linotype"/>
          <w:color w:val="000000" w:themeColor="text1"/>
          <w:sz w:val="28"/>
          <w:szCs w:val="28"/>
        </w:rPr>
        <w:t>вшись по сравнению с концом 2024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года на </w:t>
      </w:r>
      <w:r w:rsidR="007C48A1" w:rsidRPr="002F720A">
        <w:rPr>
          <w:rFonts w:ascii="Palatino Linotype" w:hAnsi="Palatino Linotype"/>
          <w:color w:val="000000" w:themeColor="text1"/>
          <w:sz w:val="28"/>
          <w:szCs w:val="28"/>
        </w:rPr>
        <w:t>4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>,</w:t>
      </w:r>
      <w:r w:rsidR="007C48A1" w:rsidRPr="002F720A">
        <w:rPr>
          <w:rFonts w:ascii="Palatino Linotype" w:hAnsi="Palatino Linotype"/>
          <w:color w:val="000000" w:themeColor="text1"/>
          <w:sz w:val="28"/>
          <w:szCs w:val="28"/>
        </w:rPr>
        <w:t>7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млрд сомони или </w:t>
      </w:r>
      <w:r w:rsidR="007C48A1" w:rsidRPr="002F720A">
        <w:rPr>
          <w:rFonts w:ascii="Palatino Linotype" w:hAnsi="Palatino Linotype"/>
          <w:color w:val="000000" w:themeColor="text1"/>
          <w:sz w:val="28"/>
          <w:szCs w:val="28"/>
        </w:rPr>
        <w:t>22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>,</w:t>
      </w:r>
      <w:r w:rsidR="007C48A1" w:rsidRPr="002F720A">
        <w:rPr>
          <w:rFonts w:ascii="Palatino Linotype" w:hAnsi="Palatino Linotype"/>
          <w:color w:val="000000" w:themeColor="text1"/>
          <w:sz w:val="28"/>
          <w:szCs w:val="28"/>
        </w:rPr>
        <w:t>2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процента</w:t>
      </w:r>
    </w:p>
    <w:p w14:paraId="49E60C83" w14:textId="77777777" w:rsidR="008458D6" w:rsidRPr="002F720A" w:rsidRDefault="008458D6" w:rsidP="008458D6">
      <w:pPr>
        <w:ind w:firstLine="360"/>
        <w:jc w:val="both"/>
        <w:rPr>
          <w:rFonts w:ascii="Palatino Linotype" w:hAnsi="Palatino Linotype"/>
          <w:color w:val="000000" w:themeColor="text1"/>
          <w:sz w:val="16"/>
          <w:szCs w:val="16"/>
        </w:rPr>
      </w:pPr>
    </w:p>
    <w:p w14:paraId="197AEAB0" w14:textId="77777777" w:rsidR="008458D6" w:rsidRPr="002F720A" w:rsidRDefault="008458D6" w:rsidP="002F720A">
      <w:pPr>
        <w:ind w:firstLine="708"/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>Стабильн</w:t>
      </w:r>
      <w:r w:rsidR="007C48A1" w:rsidRPr="002F720A">
        <w:rPr>
          <w:rFonts w:ascii="Palatino Linotype" w:hAnsi="Palatino Linotype"/>
          <w:b/>
          <w:sz w:val="28"/>
          <w:szCs w:val="28"/>
        </w:rPr>
        <w:t>ость</w:t>
      </w:r>
      <w:r w:rsidRPr="002F720A">
        <w:rPr>
          <w:rFonts w:ascii="Palatino Linotype" w:hAnsi="Palatino Linotype"/>
          <w:sz w:val="28"/>
          <w:szCs w:val="28"/>
        </w:rPr>
        <w:t xml:space="preserve"> </w:t>
      </w:r>
      <w:r w:rsidRPr="002F720A">
        <w:rPr>
          <w:rFonts w:ascii="Palatino Linotype" w:hAnsi="Palatino Linotype"/>
          <w:b/>
          <w:sz w:val="28"/>
          <w:szCs w:val="28"/>
        </w:rPr>
        <w:t>банковской системы</w:t>
      </w:r>
    </w:p>
    <w:p w14:paraId="1B8A2766" w14:textId="77777777" w:rsidR="008458D6" w:rsidRPr="002F720A" w:rsidRDefault="008458D6" w:rsidP="008458D6">
      <w:pPr>
        <w:ind w:firstLine="708"/>
        <w:jc w:val="both"/>
        <w:rPr>
          <w:rFonts w:ascii="Palatino Linotype" w:hAnsi="Palatino Linotype"/>
          <w:b/>
          <w:sz w:val="16"/>
          <w:szCs w:val="16"/>
        </w:rPr>
      </w:pPr>
    </w:p>
    <w:p w14:paraId="1E163625" w14:textId="77777777" w:rsidR="008458D6" w:rsidRPr="002F720A" w:rsidRDefault="008458D6" w:rsidP="008458D6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>Коэффициент достаточности капитала, являющийся одним из основных показателей финансовой устойчивости банковской системы, на 3</w:t>
      </w:r>
      <w:r w:rsidR="00643DE3" w:rsidRPr="002F720A">
        <w:rPr>
          <w:rFonts w:ascii="Palatino Linotype" w:hAnsi="Palatino Linotype"/>
          <w:sz w:val="28"/>
          <w:szCs w:val="28"/>
        </w:rPr>
        <w:t>1 декабря 2025 года составил 23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643DE3" w:rsidRPr="002F720A">
        <w:rPr>
          <w:rFonts w:ascii="Palatino Linotype" w:hAnsi="Palatino Linotype"/>
          <w:sz w:val="28"/>
          <w:szCs w:val="28"/>
        </w:rPr>
        <w:t>1</w:t>
      </w:r>
      <w:r w:rsidRPr="002F720A">
        <w:rPr>
          <w:rFonts w:ascii="Palatino Linotype" w:hAnsi="Palatino Linotype"/>
          <w:sz w:val="28"/>
          <w:szCs w:val="28"/>
        </w:rPr>
        <w:t xml:space="preserve"> процента, превысив установ</w:t>
      </w:r>
      <w:r w:rsidR="00643DE3" w:rsidRPr="002F720A">
        <w:rPr>
          <w:rFonts w:ascii="Palatino Linotype" w:hAnsi="Palatino Linotype"/>
          <w:sz w:val="28"/>
          <w:szCs w:val="28"/>
        </w:rPr>
        <w:t>ленный порог (12 процентов) на 11</w:t>
      </w:r>
      <w:r w:rsidRPr="002F720A">
        <w:rPr>
          <w:rFonts w:ascii="Palatino Linotype" w:hAnsi="Palatino Linotype"/>
          <w:sz w:val="28"/>
          <w:szCs w:val="28"/>
        </w:rPr>
        <w:t>,</w:t>
      </w:r>
      <w:r w:rsidR="00643DE3" w:rsidRPr="002F720A">
        <w:rPr>
          <w:rFonts w:ascii="Palatino Linotype" w:hAnsi="Palatino Linotype"/>
          <w:sz w:val="28"/>
          <w:szCs w:val="28"/>
        </w:rPr>
        <w:t>1</w:t>
      </w:r>
      <w:r w:rsidRPr="002F720A">
        <w:rPr>
          <w:rFonts w:ascii="Palatino Linotype" w:hAnsi="Palatino Linotype"/>
          <w:sz w:val="28"/>
          <w:szCs w:val="28"/>
        </w:rPr>
        <w:t xml:space="preserve"> процентного  пункта. </w:t>
      </w:r>
    </w:p>
    <w:p w14:paraId="5527E4DC" w14:textId="77777777" w:rsidR="008458D6" w:rsidRPr="002F720A" w:rsidRDefault="008458D6" w:rsidP="008458D6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Коэффициент ликвидности </w:t>
      </w:r>
      <w:r w:rsidR="00F14879" w:rsidRPr="002F720A">
        <w:rPr>
          <w:rFonts w:ascii="Palatino Linotype" w:hAnsi="Palatino Linotype"/>
          <w:color w:val="000000" w:themeColor="text1"/>
          <w:sz w:val="28"/>
          <w:szCs w:val="28"/>
        </w:rPr>
        <w:t>кредитных финансовых организаций на отчетную дату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составил</w:t>
      </w:r>
      <w:r w:rsidR="00F14879" w:rsidRPr="002F720A">
        <w:rPr>
          <w:rFonts w:ascii="Palatino Linotype" w:hAnsi="Palatino Linotype"/>
          <w:sz w:val="28"/>
          <w:szCs w:val="28"/>
        </w:rPr>
        <w:t xml:space="preserve"> 81,6 процента, что больше на 51</w:t>
      </w:r>
      <w:r w:rsidRPr="002F720A">
        <w:rPr>
          <w:rFonts w:ascii="Palatino Linotype" w:hAnsi="Palatino Linotype"/>
          <w:sz w:val="28"/>
          <w:szCs w:val="28"/>
        </w:rPr>
        <w:t>,6 процентного пункта по сравнению с установленными требованиями.</w:t>
      </w:r>
    </w:p>
    <w:p w14:paraId="7683A755" w14:textId="7F45AC2C" w:rsidR="00C162E6" w:rsidRPr="002F720A" w:rsidRDefault="00C162E6" w:rsidP="00C162E6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>Р</w:t>
      </w:r>
      <w:r w:rsidRPr="002F720A">
        <w:rPr>
          <w:rFonts w:ascii="Palatino Linotype" w:hAnsi="Palatino Linotype"/>
          <w:color w:val="000000" w:themeColor="text1"/>
          <w:sz w:val="28"/>
          <w:szCs w:val="28"/>
        </w:rPr>
        <w:t>ентабельность</w:t>
      </w:r>
      <w:r w:rsidRPr="002F720A">
        <w:rPr>
          <w:rFonts w:ascii="Palatino Linotype" w:hAnsi="Palatino Linotype"/>
          <w:sz w:val="28"/>
          <w:szCs w:val="28"/>
        </w:rPr>
        <w:t xml:space="preserve"> активов кредитных финансовых организаций как показатель эффективной деятельности банковской системы составила 5,6 процента и рентабельность их капитала 30,5 процента.</w:t>
      </w:r>
    </w:p>
    <w:p w14:paraId="33B758CC" w14:textId="77777777" w:rsidR="008458D6" w:rsidRPr="002F720A" w:rsidRDefault="008458D6" w:rsidP="008458D6">
      <w:pPr>
        <w:rPr>
          <w:rFonts w:ascii="Palatino Linotype" w:hAnsi="Palatino Linotype"/>
          <w:b/>
          <w:sz w:val="16"/>
          <w:szCs w:val="16"/>
        </w:rPr>
      </w:pPr>
    </w:p>
    <w:p w14:paraId="1BD659C3" w14:textId="77777777" w:rsidR="008458D6" w:rsidRPr="002F720A" w:rsidRDefault="008458D6" w:rsidP="008458D6">
      <w:pPr>
        <w:ind w:firstLine="360"/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>Платёжная система</w:t>
      </w:r>
    </w:p>
    <w:p w14:paraId="093E448B" w14:textId="77777777" w:rsidR="008458D6" w:rsidRPr="002F720A" w:rsidRDefault="008458D6" w:rsidP="008458D6">
      <w:pPr>
        <w:ind w:firstLine="360"/>
        <w:jc w:val="center"/>
        <w:rPr>
          <w:rFonts w:ascii="Palatino Linotype" w:hAnsi="Palatino Linotype"/>
          <w:b/>
          <w:sz w:val="16"/>
          <w:szCs w:val="16"/>
        </w:rPr>
      </w:pPr>
    </w:p>
    <w:p w14:paraId="34D82C8A" w14:textId="0E5C0030" w:rsidR="008458D6" w:rsidRPr="002F720A" w:rsidRDefault="002F720A" w:rsidP="002F720A">
      <w:pPr>
        <w:pStyle w:val="a3"/>
        <w:jc w:val="both"/>
        <w:rPr>
          <w:rFonts w:ascii="Palatino Linotype" w:hAnsi="Palatino Linotype"/>
          <w:color w:val="000000" w:themeColor="text1"/>
          <w:sz w:val="28"/>
          <w:szCs w:val="28"/>
          <w:lang w:val="tg-Cyrl-TJ"/>
        </w:rPr>
      </w:pPr>
      <w:r>
        <w:rPr>
          <w:rFonts w:ascii="Palatino Linotype" w:hAnsi="Palatino Linotype"/>
          <w:sz w:val="28"/>
          <w:szCs w:val="28"/>
          <w:lang w:val="tg-Cyrl-TJ"/>
        </w:rPr>
        <w:tab/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>По состоянию на 3</w:t>
      </w:r>
      <w:r w:rsidR="00C162E6" w:rsidRPr="002F720A">
        <w:rPr>
          <w:rFonts w:ascii="Palatino Linotype" w:hAnsi="Palatino Linotype"/>
          <w:sz w:val="28"/>
          <w:szCs w:val="28"/>
          <w:lang w:val="tg-Cyrl-TJ"/>
        </w:rPr>
        <w:t xml:space="preserve">1 декабря </w:t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>202</w:t>
      </w:r>
      <w:r w:rsidR="00C162E6" w:rsidRPr="002F720A">
        <w:rPr>
          <w:rFonts w:ascii="Palatino Linotype" w:hAnsi="Palatino Linotype"/>
          <w:sz w:val="28"/>
          <w:szCs w:val="28"/>
          <w:lang w:val="tg-Cyrl-TJ"/>
        </w:rPr>
        <w:t>5</w:t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 xml:space="preserve"> года общее количество банковских платёжных карт составило </w:t>
      </w:r>
      <w:r w:rsidR="00C162E6" w:rsidRPr="002F720A">
        <w:rPr>
          <w:rFonts w:ascii="Palatino Linotype" w:hAnsi="Palatino Linotype"/>
          <w:sz w:val="28"/>
          <w:szCs w:val="28"/>
          <w:lang w:val="tg-Cyrl-TJ"/>
        </w:rPr>
        <w:t>10</w:t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>,</w:t>
      </w:r>
      <w:r w:rsidR="00C162E6" w:rsidRPr="002F720A">
        <w:rPr>
          <w:rFonts w:ascii="Palatino Linotype" w:hAnsi="Palatino Linotype"/>
          <w:sz w:val="28"/>
          <w:szCs w:val="28"/>
          <w:lang w:val="tg-Cyrl-TJ"/>
        </w:rPr>
        <w:t>4 млн единиц, увеличившись на</w:t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 xml:space="preserve"> </w:t>
      </w:r>
      <w:r w:rsidR="00C162E6" w:rsidRPr="002F720A">
        <w:rPr>
          <w:rFonts w:ascii="Palatino Linotype" w:hAnsi="Palatino Linotype"/>
          <w:sz w:val="28"/>
          <w:szCs w:val="28"/>
          <w:lang w:val="tg-Cyrl-TJ"/>
        </w:rPr>
        <w:t>23</w:t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>,</w:t>
      </w:r>
      <w:r w:rsidR="00C162E6" w:rsidRPr="002F720A">
        <w:rPr>
          <w:rFonts w:ascii="Palatino Linotype" w:hAnsi="Palatino Linotype"/>
          <w:sz w:val="28"/>
          <w:szCs w:val="28"/>
          <w:lang w:val="tg-Cyrl-TJ"/>
        </w:rPr>
        <w:t>7</w:t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 xml:space="preserve"> процента по сравнению с аналогичной датой прошлого года. </w:t>
      </w:r>
      <w:r w:rsidR="00516C41" w:rsidRPr="002F720A">
        <w:rPr>
          <w:rFonts w:ascii="Palatino Linotype" w:hAnsi="Palatino Linotype"/>
          <w:sz w:val="28"/>
          <w:szCs w:val="28"/>
          <w:lang w:val="tg-Cyrl-TJ"/>
        </w:rPr>
        <w:t>О</w:t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>общее количество э</w:t>
      </w:r>
      <w:r w:rsidR="00516C41" w:rsidRPr="002F720A">
        <w:rPr>
          <w:rFonts w:ascii="Palatino Linotype" w:hAnsi="Palatino Linotype"/>
          <w:sz w:val="28"/>
          <w:szCs w:val="28"/>
          <w:lang w:val="tg-Cyrl-TJ"/>
        </w:rPr>
        <w:t>лектронных кошельков достигло 17</w:t>
      </w:r>
      <w:r w:rsidR="00516C41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,7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 млн единиц, что на </w:t>
      </w:r>
      <w:r w:rsidR="00516C41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46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,</w:t>
      </w:r>
      <w:r w:rsidR="00516C41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4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 процента больше по сравнению с аналогичн</w:t>
      </w:r>
      <w:r w:rsidR="00516C41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ой датой прошлого года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.</w:t>
      </w:r>
    </w:p>
    <w:p w14:paraId="64316BC5" w14:textId="7A7FEDFB" w:rsidR="00331F1F" w:rsidRPr="002F720A" w:rsidRDefault="002F720A" w:rsidP="002F720A">
      <w:pPr>
        <w:pStyle w:val="a3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  <w:lang w:val="tg-Cyrl-TJ"/>
        </w:rPr>
        <w:tab/>
      </w:r>
      <w:r w:rsidR="00331F1F" w:rsidRPr="002F720A">
        <w:rPr>
          <w:rFonts w:ascii="Palatino Linotype" w:hAnsi="Palatino Linotype"/>
          <w:sz w:val="28"/>
          <w:szCs w:val="28"/>
          <w:lang w:val="tg-Cyrl-TJ"/>
        </w:rPr>
        <w:t xml:space="preserve">С целью обеспечения владельцев банковских платежных карт наличными деньгами на отчетную дату кредитными </w:t>
      </w:r>
      <w:r w:rsidR="00331F1F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финансовыми </w:t>
      </w:r>
      <w:r w:rsidR="00331F1F" w:rsidRPr="002F720A">
        <w:rPr>
          <w:rFonts w:ascii="Palatino Linotype" w:hAnsi="Palatino Linotype"/>
          <w:sz w:val="28"/>
          <w:szCs w:val="28"/>
          <w:lang w:val="tg-Cyrl-TJ"/>
        </w:rPr>
        <w:t xml:space="preserve">организациями в пунктах предоставления наличности установлено </w:t>
      </w:r>
      <w:r w:rsidR="00463AA0" w:rsidRPr="002F720A">
        <w:rPr>
          <w:rFonts w:ascii="Palatino Linotype" w:hAnsi="Palatino Linotype"/>
          <w:sz w:val="28"/>
          <w:szCs w:val="28"/>
          <w:lang w:val="tg-Cyrl-TJ"/>
        </w:rPr>
        <w:t xml:space="preserve">        </w:t>
      </w:r>
      <w:r w:rsidR="0003793E" w:rsidRPr="002F720A">
        <w:rPr>
          <w:rFonts w:ascii="Palatino Linotype" w:hAnsi="Palatino Linotype"/>
          <w:sz w:val="28"/>
          <w:szCs w:val="28"/>
          <w:lang w:val="tg-Cyrl-TJ"/>
        </w:rPr>
        <w:t>3 453</w:t>
      </w:r>
      <w:r w:rsidR="00331F1F" w:rsidRPr="002F720A">
        <w:rPr>
          <w:rFonts w:ascii="Palatino Linotype" w:hAnsi="Palatino Linotype"/>
          <w:sz w:val="28"/>
          <w:szCs w:val="28"/>
          <w:lang w:val="tg-Cyrl-TJ"/>
        </w:rPr>
        <w:t xml:space="preserve"> банкомата и </w:t>
      </w:r>
      <w:r w:rsidR="0003793E" w:rsidRPr="002F720A">
        <w:rPr>
          <w:rFonts w:ascii="Palatino Linotype" w:hAnsi="Palatino Linotype"/>
          <w:sz w:val="28"/>
          <w:szCs w:val="28"/>
          <w:lang w:val="tg-Cyrl-TJ"/>
        </w:rPr>
        <w:t>4</w:t>
      </w:r>
      <w:r w:rsidR="00331F1F" w:rsidRPr="002F720A">
        <w:rPr>
          <w:rFonts w:ascii="Palatino Linotype" w:hAnsi="Palatino Linotype"/>
          <w:sz w:val="28"/>
          <w:szCs w:val="28"/>
          <w:lang w:val="tg-Cyrl-TJ"/>
        </w:rPr>
        <w:t xml:space="preserve"> </w:t>
      </w:r>
      <w:r w:rsidR="0003793E" w:rsidRPr="002F720A">
        <w:rPr>
          <w:rFonts w:ascii="Palatino Linotype" w:hAnsi="Palatino Linotype"/>
          <w:sz w:val="28"/>
          <w:szCs w:val="28"/>
          <w:lang w:val="tg-Cyrl-TJ"/>
        </w:rPr>
        <w:t>991</w:t>
      </w:r>
      <w:r w:rsidR="00331F1F" w:rsidRPr="002F720A">
        <w:rPr>
          <w:rFonts w:ascii="Palatino Linotype" w:hAnsi="Palatino Linotype"/>
          <w:sz w:val="28"/>
          <w:szCs w:val="28"/>
          <w:lang w:val="tg-Cyrl-TJ"/>
        </w:rPr>
        <w:t xml:space="preserve"> электронных терминалов</w:t>
      </w:r>
      <w:r w:rsidR="0003793E" w:rsidRPr="002F720A">
        <w:rPr>
          <w:rFonts w:ascii="Palatino Linotype" w:hAnsi="Palatino Linotype"/>
          <w:sz w:val="28"/>
          <w:szCs w:val="28"/>
          <w:lang w:val="tg-Cyrl-TJ"/>
        </w:rPr>
        <w:t>. Данный показатель</w:t>
      </w:r>
      <w:r w:rsidR="00331F1F" w:rsidRPr="002F720A">
        <w:rPr>
          <w:rFonts w:ascii="Palatino Linotype" w:hAnsi="Palatino Linotype"/>
          <w:sz w:val="28"/>
          <w:szCs w:val="28"/>
          <w:lang w:val="tg-Cyrl-TJ"/>
        </w:rPr>
        <w:t xml:space="preserve"> по сравнению с </w:t>
      </w:r>
      <w:r w:rsidR="0003793E" w:rsidRPr="002F720A">
        <w:rPr>
          <w:rFonts w:ascii="Palatino Linotype" w:hAnsi="Palatino Linotype"/>
          <w:sz w:val="28"/>
          <w:szCs w:val="28"/>
          <w:lang w:val="tg-Cyrl-TJ"/>
        </w:rPr>
        <w:t>концом 2024 года</w:t>
      </w:r>
      <w:r w:rsidR="00331F1F" w:rsidRPr="002F720A">
        <w:rPr>
          <w:rFonts w:ascii="Palatino Linotype" w:hAnsi="Palatino Linotype"/>
          <w:sz w:val="28"/>
          <w:szCs w:val="28"/>
          <w:lang w:val="tg-Cyrl-TJ"/>
        </w:rPr>
        <w:t xml:space="preserve"> соответственно больше на </w:t>
      </w:r>
      <w:r w:rsidR="0003793E" w:rsidRPr="002F720A">
        <w:rPr>
          <w:rFonts w:ascii="Palatino Linotype" w:hAnsi="Palatino Linotype"/>
          <w:sz w:val="28"/>
          <w:szCs w:val="28"/>
          <w:lang w:val="tg-Cyrl-TJ"/>
        </w:rPr>
        <w:t>14</w:t>
      </w:r>
      <w:r w:rsidR="00331F1F" w:rsidRPr="002F720A">
        <w:rPr>
          <w:rFonts w:ascii="Palatino Linotype" w:hAnsi="Palatino Linotype"/>
          <w:sz w:val="28"/>
          <w:szCs w:val="28"/>
          <w:lang w:val="tg-Cyrl-TJ"/>
        </w:rPr>
        <w:t>,</w:t>
      </w:r>
      <w:r w:rsidR="0003793E" w:rsidRPr="002F720A">
        <w:rPr>
          <w:rFonts w:ascii="Palatino Linotype" w:hAnsi="Palatino Linotype"/>
          <w:sz w:val="28"/>
          <w:szCs w:val="28"/>
          <w:lang w:val="tg-Cyrl-TJ"/>
        </w:rPr>
        <w:t>9</w:t>
      </w:r>
      <w:r w:rsidR="00331F1F" w:rsidRPr="002F720A">
        <w:rPr>
          <w:rFonts w:ascii="Palatino Linotype" w:hAnsi="Palatino Linotype"/>
          <w:sz w:val="28"/>
          <w:szCs w:val="28"/>
          <w:lang w:val="tg-Cyrl-TJ"/>
        </w:rPr>
        <w:t xml:space="preserve"> процента и </w:t>
      </w:r>
      <w:r w:rsidR="0003793E" w:rsidRPr="002F720A">
        <w:rPr>
          <w:rFonts w:ascii="Palatino Linotype" w:hAnsi="Palatino Linotype"/>
          <w:sz w:val="28"/>
          <w:szCs w:val="28"/>
          <w:lang w:val="tg-Cyrl-TJ"/>
        </w:rPr>
        <w:t>30</w:t>
      </w:r>
      <w:r w:rsidR="00331F1F" w:rsidRPr="002F720A">
        <w:rPr>
          <w:rFonts w:ascii="Palatino Linotype" w:hAnsi="Palatino Linotype"/>
          <w:sz w:val="28"/>
          <w:szCs w:val="28"/>
          <w:lang w:val="tg-Cyrl-TJ"/>
        </w:rPr>
        <w:t>,</w:t>
      </w:r>
      <w:r w:rsidR="0003793E" w:rsidRPr="002F720A">
        <w:rPr>
          <w:rFonts w:ascii="Palatino Linotype" w:hAnsi="Palatino Linotype"/>
          <w:sz w:val="28"/>
          <w:szCs w:val="28"/>
          <w:lang w:val="tg-Cyrl-TJ"/>
        </w:rPr>
        <w:t>8</w:t>
      </w:r>
      <w:r w:rsidR="00331F1F" w:rsidRPr="002F720A">
        <w:rPr>
          <w:rFonts w:ascii="Palatino Linotype" w:hAnsi="Palatino Linotype"/>
          <w:sz w:val="28"/>
          <w:szCs w:val="28"/>
          <w:lang w:val="tg-Cyrl-TJ"/>
        </w:rPr>
        <w:t xml:space="preserve"> процента.</w:t>
      </w:r>
    </w:p>
    <w:p w14:paraId="570042E6" w14:textId="64C0FFBE" w:rsidR="008458D6" w:rsidRPr="002F720A" w:rsidRDefault="002F720A" w:rsidP="002F720A">
      <w:pPr>
        <w:pStyle w:val="a3"/>
        <w:jc w:val="both"/>
        <w:rPr>
          <w:rFonts w:ascii="Palatino Linotype" w:hAnsi="Palatino Linotype"/>
          <w:color w:val="000000" w:themeColor="text1"/>
          <w:sz w:val="28"/>
          <w:szCs w:val="28"/>
        </w:rPr>
      </w:pPr>
      <w:r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ab/>
      </w:r>
      <w:r w:rsidR="00542A4F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Кроме того, д</w:t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 xml:space="preserve">ля осуществления безналичных платежей на отчётную дату 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в предприятиях торговли и сервиса установлено </w:t>
      </w:r>
      <w:r w:rsidR="00542A4F" w:rsidRPr="002F720A">
        <w:rPr>
          <w:rFonts w:ascii="Palatino Linotype" w:hAnsi="Palatino Linotype"/>
          <w:color w:val="000000" w:themeColor="text1"/>
          <w:sz w:val="28"/>
          <w:szCs w:val="28"/>
        </w:rPr>
        <w:t>9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</w:t>
      </w:r>
      <w:r w:rsidR="00542A4F" w:rsidRPr="002F720A">
        <w:rPr>
          <w:rFonts w:ascii="Palatino Linotype" w:hAnsi="Palatino Linotype"/>
          <w:color w:val="000000" w:themeColor="text1"/>
          <w:sz w:val="28"/>
          <w:szCs w:val="28"/>
        </w:rPr>
        <w:t>017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  <w:lang w:val="en-US"/>
        </w:rPr>
        <w:t>POS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-терминалов, что по сравнению с </w:t>
      </w:r>
      <w:r w:rsidR="00542A4F" w:rsidRPr="002F720A">
        <w:rPr>
          <w:rFonts w:ascii="Palatino Linotype" w:hAnsi="Palatino Linotype"/>
          <w:color w:val="000000" w:themeColor="text1"/>
          <w:sz w:val="28"/>
          <w:szCs w:val="28"/>
        </w:rPr>
        <w:t>2024 годом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больше на </w:t>
      </w:r>
      <w:r w:rsidR="00542A4F" w:rsidRPr="002F720A">
        <w:rPr>
          <w:rFonts w:ascii="Palatino Linotype" w:hAnsi="Palatino Linotype"/>
          <w:color w:val="000000" w:themeColor="text1"/>
          <w:sz w:val="28"/>
          <w:szCs w:val="28"/>
        </w:rPr>
        <w:t>10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>,</w:t>
      </w:r>
      <w:r w:rsidR="00542A4F" w:rsidRPr="002F720A">
        <w:rPr>
          <w:rFonts w:ascii="Palatino Linotype" w:hAnsi="Palatino Linotype"/>
          <w:color w:val="000000" w:themeColor="text1"/>
          <w:sz w:val="28"/>
          <w:szCs w:val="28"/>
        </w:rPr>
        <w:t>8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процента. Также, в предприятиях торговли и сервиса было установлено </w:t>
      </w:r>
      <w:r w:rsidR="00542A4F" w:rsidRPr="002F720A">
        <w:rPr>
          <w:rFonts w:ascii="Palatino Linotype" w:hAnsi="Palatino Linotype"/>
          <w:color w:val="000000" w:themeColor="text1"/>
          <w:sz w:val="28"/>
          <w:szCs w:val="28"/>
        </w:rPr>
        <w:t>28 762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 </w:t>
      </w:r>
      <w:r w:rsidR="008458D6" w:rsidRPr="002F720A">
        <w:rPr>
          <w:rFonts w:ascii="Palatino Linotype" w:hAnsi="Palatino Linotype"/>
          <w:sz w:val="28"/>
          <w:szCs w:val="28"/>
          <w:lang w:val="en-US"/>
        </w:rPr>
        <w:t>QR</w:t>
      </w:r>
      <w:r w:rsidR="008458D6" w:rsidRPr="002F720A">
        <w:rPr>
          <w:rFonts w:ascii="Palatino Linotype" w:hAnsi="Palatino Linotype"/>
          <w:sz w:val="28"/>
          <w:szCs w:val="28"/>
        </w:rPr>
        <w:t xml:space="preserve"> – кодов</w:t>
      </w:r>
      <w:r w:rsidR="00DE192F" w:rsidRPr="002F720A">
        <w:rPr>
          <w:rFonts w:ascii="Palatino Linotype" w:hAnsi="Palatino Linotype"/>
          <w:sz w:val="28"/>
          <w:szCs w:val="28"/>
        </w:rPr>
        <w:t xml:space="preserve">, что по сравнению с концом 2024 года больше на 44,4 </w:t>
      </w:r>
      <w:r w:rsidR="00DE192F" w:rsidRPr="002F720A">
        <w:rPr>
          <w:rFonts w:ascii="Palatino Linotype" w:hAnsi="Palatino Linotype"/>
          <w:sz w:val="28"/>
          <w:szCs w:val="28"/>
        </w:rPr>
        <w:lastRenderedPageBreak/>
        <w:t>процента.</w:t>
      </w:r>
      <w:r w:rsidR="00542A4F" w:rsidRPr="002F720A">
        <w:rPr>
          <w:rFonts w:ascii="Palatino Linotype" w:hAnsi="Palatino Linotype"/>
          <w:sz w:val="28"/>
          <w:szCs w:val="28"/>
        </w:rPr>
        <w:t xml:space="preserve"> </w:t>
      </w:r>
      <w:r w:rsidR="00115528" w:rsidRPr="002F720A">
        <w:rPr>
          <w:rFonts w:ascii="Palatino Linotype" w:hAnsi="Palatino Linotype"/>
          <w:sz w:val="28"/>
          <w:szCs w:val="28"/>
        </w:rPr>
        <w:t>Количество терминалов самообслуживания на отчетную дату составило 7 330 единиц.</w:t>
      </w:r>
    </w:p>
    <w:p w14:paraId="401365B2" w14:textId="5B201495" w:rsidR="00B238C5" w:rsidRPr="002F720A" w:rsidRDefault="002F720A" w:rsidP="002F720A">
      <w:pPr>
        <w:pStyle w:val="a3"/>
        <w:jc w:val="both"/>
        <w:rPr>
          <w:rFonts w:ascii="Palatino Linotype" w:hAnsi="Palatino Linotype"/>
          <w:color w:val="000000" w:themeColor="text1"/>
          <w:sz w:val="28"/>
          <w:szCs w:val="28"/>
          <w:lang w:val="tg-Cyrl-TJ"/>
        </w:rPr>
      </w:pPr>
      <w:r>
        <w:rPr>
          <w:rFonts w:ascii="Palatino Linotype" w:hAnsi="Palatino Linotype"/>
          <w:sz w:val="28"/>
          <w:szCs w:val="28"/>
          <w:lang w:val="tg-Cyrl-TJ"/>
        </w:rPr>
        <w:tab/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 xml:space="preserve">За </w:t>
      </w:r>
      <w:r w:rsidR="00115528" w:rsidRPr="002F720A">
        <w:rPr>
          <w:rFonts w:ascii="Palatino Linotype" w:hAnsi="Palatino Linotype"/>
          <w:sz w:val="28"/>
          <w:szCs w:val="28"/>
          <w:lang w:val="tg-Cyrl-TJ"/>
        </w:rPr>
        <w:t>2025 год</w:t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 xml:space="preserve"> посредством электронных платёжных средств 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(</w:t>
      </w:r>
      <w:r w:rsidR="00115528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банковских 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платёжных карт и электронных кошельков) было совершено </w:t>
      </w:r>
      <w:r w:rsidR="00912849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136,0 млн 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безналичных операций на сумму </w:t>
      </w:r>
      <w:r w:rsidR="00912849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42,4 млрд 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сомони</w:t>
      </w:r>
      <w:r w:rsidR="00912849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, что </w:t>
      </w:r>
      <w:r w:rsidR="00B238C5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на 47,1 процента больше по количеству и на 39,8 процента по объему операций по сравнению с 2024 годом.</w:t>
      </w:r>
    </w:p>
    <w:p w14:paraId="433125F8" w14:textId="78C27BEE" w:rsidR="008458D6" w:rsidRPr="002F720A" w:rsidRDefault="002F720A" w:rsidP="002F720A">
      <w:pPr>
        <w:pStyle w:val="a3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color w:val="000000" w:themeColor="text1"/>
          <w:sz w:val="28"/>
          <w:szCs w:val="28"/>
        </w:rPr>
        <w:tab/>
      </w:r>
      <w:r w:rsidR="00EA6CBD" w:rsidRPr="002F720A">
        <w:rPr>
          <w:rFonts w:ascii="Palatino Linotype" w:hAnsi="Palatino Linotype"/>
          <w:color w:val="000000" w:themeColor="text1"/>
          <w:sz w:val="28"/>
          <w:szCs w:val="28"/>
        </w:rPr>
        <w:t>С</w:t>
      </w:r>
      <w:r w:rsidR="008458D6" w:rsidRPr="002F720A">
        <w:rPr>
          <w:rFonts w:ascii="Palatino Linotype" w:hAnsi="Palatino Linotype"/>
          <w:color w:val="000000" w:themeColor="text1"/>
          <w:sz w:val="28"/>
          <w:szCs w:val="28"/>
        </w:rPr>
        <w:t xml:space="preserve">оотношение операций снятия наличных денег и операций безналичных платежей </w:t>
      </w:r>
      <w:r w:rsidR="008458D6" w:rsidRPr="002F720A">
        <w:rPr>
          <w:rFonts w:ascii="Palatino Linotype" w:hAnsi="Palatino Linotype"/>
          <w:sz w:val="28"/>
          <w:szCs w:val="28"/>
        </w:rPr>
        <w:t>составило 7</w:t>
      </w:r>
      <w:r w:rsidR="00FC2B15" w:rsidRPr="002F720A">
        <w:rPr>
          <w:rFonts w:ascii="Palatino Linotype" w:hAnsi="Palatino Linotype"/>
          <w:sz w:val="28"/>
          <w:szCs w:val="28"/>
        </w:rPr>
        <w:t>0,6</w:t>
      </w:r>
      <w:r w:rsidR="008458D6" w:rsidRPr="002F720A">
        <w:rPr>
          <w:rFonts w:ascii="Palatino Linotype" w:hAnsi="Palatino Linotype"/>
          <w:sz w:val="28"/>
          <w:szCs w:val="28"/>
        </w:rPr>
        <w:t xml:space="preserve"> процент</w:t>
      </w:r>
      <w:r w:rsidR="00FC2B15" w:rsidRPr="002F720A">
        <w:rPr>
          <w:rFonts w:ascii="Palatino Linotype" w:hAnsi="Palatino Linotype"/>
          <w:sz w:val="28"/>
          <w:szCs w:val="28"/>
        </w:rPr>
        <w:t>а</w:t>
      </w:r>
      <w:r w:rsidR="008458D6" w:rsidRPr="002F720A">
        <w:rPr>
          <w:rFonts w:ascii="Palatino Linotype" w:hAnsi="Palatino Linotype"/>
          <w:sz w:val="28"/>
          <w:szCs w:val="28"/>
        </w:rPr>
        <w:t xml:space="preserve"> к 2</w:t>
      </w:r>
      <w:r w:rsidR="00FC2B15" w:rsidRPr="002F720A">
        <w:rPr>
          <w:rFonts w:ascii="Palatino Linotype" w:hAnsi="Palatino Linotype"/>
          <w:sz w:val="28"/>
          <w:szCs w:val="28"/>
        </w:rPr>
        <w:t>9,4</w:t>
      </w:r>
      <w:r w:rsidR="008458D6" w:rsidRPr="002F720A">
        <w:rPr>
          <w:rFonts w:ascii="Palatino Linotype" w:hAnsi="Palatino Linotype"/>
          <w:sz w:val="28"/>
          <w:szCs w:val="28"/>
        </w:rPr>
        <w:t xml:space="preserve"> процентам, и доля безналичных операций по сравнению с </w:t>
      </w:r>
      <w:r w:rsidR="00FC2B15" w:rsidRPr="002F720A">
        <w:rPr>
          <w:rFonts w:ascii="Palatino Linotype" w:hAnsi="Palatino Linotype"/>
          <w:sz w:val="28"/>
          <w:szCs w:val="28"/>
        </w:rPr>
        <w:t>прошлым годом увеличилась на</w:t>
      </w:r>
      <w:r w:rsidR="008458D6" w:rsidRPr="002F720A">
        <w:rPr>
          <w:rFonts w:ascii="Palatino Linotype" w:hAnsi="Palatino Linotype"/>
          <w:sz w:val="28"/>
          <w:szCs w:val="28"/>
        </w:rPr>
        <w:t xml:space="preserve"> </w:t>
      </w:r>
      <w:r w:rsidR="00C171CD" w:rsidRPr="002F720A">
        <w:rPr>
          <w:rFonts w:ascii="Palatino Linotype" w:hAnsi="Palatino Linotype"/>
          <w:sz w:val="28"/>
          <w:szCs w:val="28"/>
        </w:rPr>
        <w:t>3,2</w:t>
      </w:r>
      <w:r w:rsidR="008458D6" w:rsidRPr="002F720A">
        <w:rPr>
          <w:rFonts w:ascii="Palatino Linotype" w:hAnsi="Palatino Linotype"/>
          <w:sz w:val="28"/>
          <w:szCs w:val="28"/>
        </w:rPr>
        <w:t xml:space="preserve"> процентных пункта.</w:t>
      </w:r>
      <w:r w:rsidR="007611F0" w:rsidRPr="002F720A">
        <w:rPr>
          <w:rFonts w:ascii="Palatino Linotype" w:hAnsi="Palatino Linotype"/>
          <w:sz w:val="28"/>
          <w:szCs w:val="28"/>
        </w:rPr>
        <w:t xml:space="preserve"> </w:t>
      </w:r>
      <w:r w:rsidR="00C04ED3" w:rsidRPr="002F720A">
        <w:rPr>
          <w:rFonts w:ascii="Palatino Linotype" w:hAnsi="Palatino Linotype"/>
          <w:sz w:val="28"/>
          <w:szCs w:val="28"/>
        </w:rPr>
        <w:t xml:space="preserve">Доля безналичных платежей </w:t>
      </w:r>
      <w:r w:rsidR="0097391E" w:rsidRPr="002F720A">
        <w:rPr>
          <w:rFonts w:ascii="Palatino Linotype" w:hAnsi="Palatino Linotype"/>
          <w:sz w:val="28"/>
          <w:szCs w:val="28"/>
        </w:rPr>
        <w:t>т</w:t>
      </w:r>
      <w:r w:rsidR="00C04ED3" w:rsidRPr="002F720A">
        <w:rPr>
          <w:rFonts w:ascii="Palatino Linotype" w:hAnsi="Palatino Linotype"/>
          <w:sz w:val="28"/>
          <w:szCs w:val="28"/>
        </w:rPr>
        <w:t xml:space="preserve">олько </w:t>
      </w:r>
      <w:r w:rsidR="0097391E" w:rsidRPr="002F720A">
        <w:rPr>
          <w:rFonts w:ascii="Palatino Linotype" w:hAnsi="Palatino Linotype"/>
          <w:sz w:val="28"/>
          <w:szCs w:val="28"/>
        </w:rPr>
        <w:t xml:space="preserve">в </w:t>
      </w:r>
      <w:r w:rsidR="00C04ED3" w:rsidRPr="002F720A">
        <w:rPr>
          <w:rFonts w:ascii="Palatino Linotype" w:hAnsi="Palatino Linotype"/>
          <w:sz w:val="28"/>
          <w:szCs w:val="28"/>
        </w:rPr>
        <w:t xml:space="preserve">декабре 2025 года </w:t>
      </w:r>
      <w:r w:rsidR="0097391E" w:rsidRPr="002F720A">
        <w:rPr>
          <w:rFonts w:ascii="Palatino Linotype" w:hAnsi="Palatino Linotype"/>
          <w:sz w:val="28"/>
          <w:szCs w:val="28"/>
        </w:rPr>
        <w:t xml:space="preserve">составила </w:t>
      </w:r>
      <w:r w:rsidR="00C04ED3" w:rsidRPr="002F720A">
        <w:rPr>
          <w:rFonts w:ascii="Palatino Linotype" w:hAnsi="Palatino Linotype"/>
          <w:sz w:val="28"/>
          <w:szCs w:val="28"/>
        </w:rPr>
        <w:t>38,9 процента, увеличившись по сравнению с прошлым годом на 9,4 процентного пункта.</w:t>
      </w:r>
    </w:p>
    <w:p w14:paraId="5F412420" w14:textId="77777777" w:rsidR="002F720A" w:rsidRPr="002F720A" w:rsidRDefault="002F720A" w:rsidP="002F720A">
      <w:pPr>
        <w:pStyle w:val="a3"/>
        <w:jc w:val="both"/>
        <w:rPr>
          <w:rFonts w:ascii="Palatino Linotype" w:hAnsi="Palatino Linotype"/>
          <w:b/>
          <w:sz w:val="16"/>
          <w:szCs w:val="16"/>
        </w:rPr>
      </w:pPr>
    </w:p>
    <w:p w14:paraId="4F8A7FCC" w14:textId="58195790" w:rsidR="001E30A0" w:rsidRPr="002F720A" w:rsidRDefault="001E30A0" w:rsidP="002F720A">
      <w:pPr>
        <w:pStyle w:val="a3"/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>Страховая система</w:t>
      </w:r>
    </w:p>
    <w:p w14:paraId="0F5593BF" w14:textId="77777777" w:rsidR="001E30A0" w:rsidRPr="002F720A" w:rsidRDefault="001E30A0" w:rsidP="002F720A">
      <w:pPr>
        <w:pStyle w:val="a3"/>
        <w:jc w:val="both"/>
        <w:rPr>
          <w:rFonts w:ascii="Palatino Linotype" w:hAnsi="Palatino Linotype"/>
          <w:b/>
          <w:sz w:val="16"/>
          <w:szCs w:val="16"/>
        </w:rPr>
      </w:pPr>
    </w:p>
    <w:p w14:paraId="6111C9AC" w14:textId="040EAA5D" w:rsidR="001E30A0" w:rsidRPr="002F720A" w:rsidRDefault="002F720A" w:rsidP="002F720A">
      <w:pPr>
        <w:pStyle w:val="a3"/>
        <w:jc w:val="both"/>
        <w:rPr>
          <w:rFonts w:ascii="Palatino Linotype" w:hAnsi="Palatino Linotype"/>
          <w:color w:val="000000" w:themeColor="text1"/>
          <w:sz w:val="28"/>
          <w:szCs w:val="28"/>
          <w:lang w:val="tg-Cyrl-TJ"/>
        </w:rPr>
      </w:pPr>
      <w:r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ab/>
      </w:r>
      <w:r w:rsidR="001E30A0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По состоянию на 31 декабря 2025 года в стране населению предоставили страховые услуги 16 страховых организаций, в том числе 1 государственная страховая организация и 15</w:t>
      </w:r>
      <w:r w:rsidR="001E30A0" w:rsidRPr="002F720A">
        <w:rPr>
          <w:rFonts w:ascii="Palatino Linotype" w:hAnsi="Palatino Linotype"/>
          <w:b/>
          <w:color w:val="000000" w:themeColor="text1"/>
          <w:sz w:val="28"/>
          <w:szCs w:val="28"/>
          <w:lang w:val="tg-Cyrl-TJ"/>
        </w:rPr>
        <w:t xml:space="preserve"> </w:t>
      </w:r>
      <w:r w:rsidR="001E30A0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негосударственных страховых организаций с 66 филиалами. </w:t>
      </w:r>
    </w:p>
    <w:p w14:paraId="0272A9AC" w14:textId="3E9A286E" w:rsidR="001E30A0" w:rsidRPr="002F720A" w:rsidRDefault="002F720A" w:rsidP="002F720A">
      <w:pPr>
        <w:pStyle w:val="a3"/>
        <w:jc w:val="both"/>
        <w:rPr>
          <w:rFonts w:ascii="Palatino Linotype" w:eastAsiaTheme="minorEastAsia" w:hAnsi="Palatino Linotype"/>
          <w:sz w:val="28"/>
          <w:szCs w:val="28"/>
          <w:lang w:val="tg-Cyrl-TJ"/>
        </w:rPr>
      </w:pPr>
      <w:r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ab/>
      </w:r>
      <w:r w:rsidR="001E30A0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Подведение итогов деятельности системы страхования </w:t>
      </w:r>
      <w:r w:rsidR="00D823AA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страны </w:t>
      </w:r>
      <w:r w:rsidR="001E30A0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за 202</w:t>
      </w:r>
      <w:r w:rsidR="00D823AA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5 год</w:t>
      </w:r>
      <w:r w:rsidR="001E30A0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 показало, что основные показатели сферы имели тенденцию роста</w:t>
      </w:r>
      <w:r w:rsidR="00D823AA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. В</w:t>
      </w:r>
      <w:r w:rsidR="001E30A0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 том числе а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>ктивы системы по сравнению с прошл</w:t>
      </w:r>
      <w:r w:rsidR="00D823AA" w:rsidRPr="002F720A">
        <w:rPr>
          <w:rFonts w:ascii="Palatino Linotype" w:eastAsiaTheme="minorEastAsia" w:hAnsi="Palatino Linotype"/>
          <w:sz w:val="28"/>
          <w:szCs w:val="28"/>
          <w:lang w:val="tg-Cyrl-TJ"/>
        </w:rPr>
        <w:t>ым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 xml:space="preserve"> год</w:t>
      </w:r>
      <w:r w:rsidR="00D823AA" w:rsidRPr="002F720A">
        <w:rPr>
          <w:rFonts w:ascii="Palatino Linotype" w:eastAsiaTheme="minorEastAsia" w:hAnsi="Palatino Linotype"/>
          <w:sz w:val="28"/>
          <w:szCs w:val="28"/>
          <w:lang w:val="tg-Cyrl-TJ"/>
        </w:rPr>
        <w:t>ом возросли</w:t>
      </w:r>
      <w:r w:rsidR="00576565" w:rsidRPr="002F720A">
        <w:rPr>
          <w:rFonts w:ascii="Palatino Linotype" w:eastAsiaTheme="minorEastAsia" w:hAnsi="Palatino Linotype"/>
          <w:sz w:val="28"/>
          <w:szCs w:val="28"/>
          <w:lang w:val="tg-Cyrl-TJ"/>
        </w:rPr>
        <w:t xml:space="preserve"> </w:t>
      </w:r>
      <w:r w:rsidR="00D823AA" w:rsidRPr="002F720A">
        <w:rPr>
          <w:rFonts w:ascii="Palatino Linotype" w:eastAsiaTheme="minorEastAsia" w:hAnsi="Palatino Linotype"/>
          <w:sz w:val="28"/>
          <w:szCs w:val="28"/>
          <w:lang w:val="tg-Cyrl-TJ"/>
        </w:rPr>
        <w:t>на 26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>,6 процента, ка</w:t>
      </w:r>
      <w:r w:rsidR="001E30A0" w:rsidRPr="002F720A">
        <w:rPr>
          <w:rFonts w:ascii="Palatino Linotype" w:eastAsiaTheme="minorEastAsia" w:hAnsi="Palatino Linotype"/>
          <w:color w:val="000000" w:themeColor="text1"/>
          <w:sz w:val="28"/>
          <w:szCs w:val="28"/>
          <w:lang w:val="tg-Cyrl-TJ"/>
        </w:rPr>
        <w:t>пита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 xml:space="preserve">л </w:t>
      </w:r>
      <w:r w:rsidR="00D823AA" w:rsidRPr="002F720A">
        <w:rPr>
          <w:rFonts w:ascii="Palatino Linotype" w:eastAsiaTheme="minorEastAsia" w:hAnsi="Palatino Linotype"/>
          <w:sz w:val="28"/>
          <w:szCs w:val="28"/>
          <w:lang w:val="tg-Cyrl-TJ"/>
        </w:rPr>
        <w:t>28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>,</w:t>
      </w:r>
      <w:r w:rsidR="00D823AA" w:rsidRPr="002F720A">
        <w:rPr>
          <w:rFonts w:ascii="Palatino Linotype" w:eastAsiaTheme="minorEastAsia" w:hAnsi="Palatino Linotype"/>
          <w:sz w:val="28"/>
          <w:szCs w:val="28"/>
          <w:lang w:val="tg-Cyrl-TJ"/>
        </w:rPr>
        <w:t>8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 xml:space="preserve"> процента</w:t>
      </w:r>
      <w:r w:rsidR="009A7808" w:rsidRPr="002F720A">
        <w:rPr>
          <w:rFonts w:ascii="Palatino Linotype" w:eastAsiaTheme="minorEastAsia" w:hAnsi="Palatino Linotype"/>
          <w:sz w:val="28"/>
          <w:szCs w:val="28"/>
          <w:lang w:val="tg-Cyrl-TJ"/>
        </w:rPr>
        <w:t xml:space="preserve">, уставный капитал </w:t>
      </w:r>
      <w:r w:rsidR="009A7808" w:rsidRPr="002F720A">
        <w:rPr>
          <w:rFonts w:ascii="Palatino Linotype" w:eastAsiaTheme="minorEastAsia" w:hAnsi="Palatino Linotype"/>
          <w:sz w:val="28"/>
          <w:szCs w:val="28"/>
          <w:lang w:val="tg-Cyrl-TJ"/>
        </w:rPr>
        <w:br/>
        <w:t>6,9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 xml:space="preserve"> процента, страховые ресурсы </w:t>
      </w:r>
      <w:r w:rsidR="009A7808" w:rsidRPr="002F720A">
        <w:rPr>
          <w:rFonts w:ascii="Palatino Linotype" w:eastAsiaTheme="minorEastAsia" w:hAnsi="Palatino Linotype"/>
          <w:sz w:val="28"/>
          <w:szCs w:val="28"/>
          <w:lang w:val="tg-Cyrl-TJ"/>
        </w:rPr>
        <w:t>37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 xml:space="preserve">,8 процента, страховые выплаты и компенсации </w:t>
      </w:r>
      <w:r w:rsidR="009A7808" w:rsidRPr="002F720A">
        <w:rPr>
          <w:rFonts w:ascii="Palatino Linotype" w:eastAsiaTheme="minorEastAsia" w:hAnsi="Palatino Linotype"/>
          <w:sz w:val="28"/>
          <w:szCs w:val="28"/>
          <w:lang w:val="tg-Cyrl-TJ"/>
        </w:rPr>
        <w:t>в 2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>,</w:t>
      </w:r>
      <w:r w:rsidR="009A7808" w:rsidRPr="002F720A">
        <w:rPr>
          <w:rFonts w:ascii="Palatino Linotype" w:eastAsiaTheme="minorEastAsia" w:hAnsi="Palatino Linotype"/>
          <w:sz w:val="28"/>
          <w:szCs w:val="28"/>
          <w:lang w:val="tg-Cyrl-TJ"/>
        </w:rPr>
        <w:t>1 раза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>,</w:t>
      </w:r>
      <w:r w:rsidR="009A7808" w:rsidRPr="002F720A">
        <w:rPr>
          <w:rFonts w:ascii="Palatino Linotype" w:eastAsiaTheme="minorEastAsia" w:hAnsi="Palatino Linotype"/>
          <w:sz w:val="28"/>
          <w:szCs w:val="28"/>
          <w:lang w:val="tg-Cyrl-TJ"/>
        </w:rPr>
        <w:t xml:space="preserve"> инвестиции на 2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>,</w:t>
      </w:r>
      <w:r w:rsidR="009A7808" w:rsidRPr="002F720A">
        <w:rPr>
          <w:rFonts w:ascii="Palatino Linotype" w:eastAsiaTheme="minorEastAsia" w:hAnsi="Palatino Linotype"/>
          <w:sz w:val="28"/>
          <w:szCs w:val="28"/>
          <w:lang w:val="tg-Cyrl-TJ"/>
        </w:rPr>
        <w:t>3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 xml:space="preserve"> процента, депозиты в кредитных финансовых </w:t>
      </w:r>
      <w:r w:rsidR="001E30A0" w:rsidRPr="002F720A">
        <w:rPr>
          <w:rFonts w:ascii="Palatino Linotype" w:eastAsiaTheme="minorEastAsia" w:hAnsi="Palatino Linotype"/>
          <w:color w:val="000000" w:themeColor="text1"/>
          <w:sz w:val="28"/>
          <w:szCs w:val="28"/>
          <w:lang w:val="tg-Cyrl-TJ"/>
        </w:rPr>
        <w:t xml:space="preserve">организациях на </w:t>
      </w:r>
      <w:r w:rsidR="009A7808" w:rsidRPr="002F720A">
        <w:rPr>
          <w:rFonts w:ascii="Palatino Linotype" w:eastAsiaTheme="minorEastAsia" w:hAnsi="Palatino Linotype"/>
          <w:color w:val="000000" w:themeColor="text1"/>
          <w:sz w:val="28"/>
          <w:szCs w:val="28"/>
          <w:lang w:val="tg-Cyrl-TJ"/>
        </w:rPr>
        <w:t>12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>,</w:t>
      </w:r>
      <w:r w:rsidR="009A7808" w:rsidRPr="002F720A">
        <w:rPr>
          <w:rFonts w:ascii="Palatino Linotype" w:eastAsiaTheme="minorEastAsia" w:hAnsi="Palatino Linotype"/>
          <w:sz w:val="28"/>
          <w:szCs w:val="28"/>
          <w:lang w:val="tg-Cyrl-TJ"/>
        </w:rPr>
        <w:t>1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 xml:space="preserve"> процента и уплаченные  налоги </w:t>
      </w:r>
      <w:r w:rsidR="00612336" w:rsidRPr="002F720A">
        <w:rPr>
          <w:rFonts w:ascii="Palatino Linotype" w:eastAsiaTheme="minorEastAsia" w:hAnsi="Palatino Linotype"/>
          <w:sz w:val="28"/>
          <w:szCs w:val="28"/>
          <w:lang w:val="tg-Cyrl-TJ"/>
        </w:rPr>
        <w:t>29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>,</w:t>
      </w:r>
      <w:r w:rsidR="00612336" w:rsidRPr="002F720A">
        <w:rPr>
          <w:rFonts w:ascii="Palatino Linotype" w:eastAsiaTheme="minorEastAsia" w:hAnsi="Palatino Linotype"/>
          <w:sz w:val="28"/>
          <w:szCs w:val="28"/>
          <w:lang w:val="tg-Cyrl-TJ"/>
        </w:rPr>
        <w:t>6</w:t>
      </w:r>
      <w:r w:rsidR="001E30A0" w:rsidRPr="002F720A">
        <w:rPr>
          <w:rFonts w:ascii="Palatino Linotype" w:eastAsiaTheme="minorEastAsia" w:hAnsi="Palatino Linotype"/>
          <w:sz w:val="28"/>
          <w:szCs w:val="28"/>
          <w:lang w:val="tg-Cyrl-TJ"/>
        </w:rPr>
        <w:t xml:space="preserve"> процента.</w:t>
      </w:r>
    </w:p>
    <w:p w14:paraId="03E3EB54" w14:textId="77777777" w:rsidR="001E30A0" w:rsidRPr="002F720A" w:rsidRDefault="001E30A0" w:rsidP="002F720A">
      <w:pPr>
        <w:pStyle w:val="a3"/>
        <w:jc w:val="both"/>
        <w:rPr>
          <w:rFonts w:ascii="Palatino Linotype" w:hAnsi="Palatino Linotype"/>
          <w:sz w:val="28"/>
          <w:szCs w:val="28"/>
          <w:lang w:val="tg-Cyrl-TJ"/>
        </w:rPr>
      </w:pPr>
      <w:r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Показатель рентабельности активов страховых организаций </w:t>
      </w:r>
      <w:r w:rsidRPr="002F720A">
        <w:rPr>
          <w:rFonts w:ascii="Palatino Linotype" w:hAnsi="Palatino Linotype"/>
          <w:color w:val="000000" w:themeColor="text1"/>
          <w:sz w:val="28"/>
          <w:szCs w:val="28"/>
          <w:lang w:val="tt-RU"/>
        </w:rPr>
        <w:t xml:space="preserve">на конец отчетного </w:t>
      </w:r>
      <w:r w:rsidR="003D33A6" w:rsidRPr="002F720A">
        <w:rPr>
          <w:rFonts w:ascii="Palatino Linotype" w:hAnsi="Palatino Linotype"/>
          <w:color w:val="000000" w:themeColor="text1"/>
          <w:sz w:val="28"/>
          <w:szCs w:val="28"/>
          <w:lang w:val="tt-RU"/>
        </w:rPr>
        <w:t>года составил 11</w:t>
      </w:r>
      <w:r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,4 процента, а показатель рентабельности капитала</w:t>
      </w:r>
      <w:r w:rsidR="003D33A6"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 xml:space="preserve"> </w:t>
      </w:r>
      <w:r w:rsidRPr="002F720A">
        <w:rPr>
          <w:rFonts w:ascii="Palatino Linotype" w:hAnsi="Palatino Linotype"/>
          <w:color w:val="000000" w:themeColor="text1"/>
          <w:sz w:val="28"/>
          <w:szCs w:val="28"/>
          <w:lang w:val="tg-Cyrl-TJ"/>
        </w:rPr>
        <w:t>–</w:t>
      </w:r>
      <w:r w:rsidRPr="002F720A">
        <w:rPr>
          <w:rFonts w:ascii="Palatino Linotype" w:hAnsi="Palatino Linotype"/>
          <w:color w:val="FF0000"/>
          <w:sz w:val="28"/>
          <w:szCs w:val="28"/>
          <w:lang w:val="tg-Cyrl-TJ"/>
        </w:rPr>
        <w:t xml:space="preserve"> </w:t>
      </w:r>
      <w:r w:rsidR="003D33A6" w:rsidRPr="002F720A">
        <w:rPr>
          <w:rFonts w:ascii="Palatino Linotype" w:hAnsi="Palatino Linotype"/>
          <w:sz w:val="28"/>
          <w:szCs w:val="28"/>
          <w:lang w:val="tg-Cyrl-TJ"/>
        </w:rPr>
        <w:t>18,3 процента</w:t>
      </w:r>
      <w:r w:rsidRPr="002F720A">
        <w:rPr>
          <w:rFonts w:ascii="Palatino Linotype" w:hAnsi="Palatino Linotype"/>
          <w:sz w:val="28"/>
          <w:szCs w:val="28"/>
          <w:lang w:val="tg-Cyrl-TJ"/>
        </w:rPr>
        <w:t>.</w:t>
      </w:r>
    </w:p>
    <w:p w14:paraId="59C79FB4" w14:textId="46B62861" w:rsidR="008458D6" w:rsidRDefault="008458D6" w:rsidP="008458D6">
      <w:pPr>
        <w:jc w:val="both"/>
        <w:rPr>
          <w:rFonts w:ascii="Palatino Linotype" w:hAnsi="Palatino Linotype"/>
          <w:b/>
          <w:sz w:val="16"/>
          <w:szCs w:val="16"/>
          <w:lang w:val="tg-Cyrl-TJ"/>
        </w:rPr>
      </w:pPr>
    </w:p>
    <w:p w14:paraId="5537EF59" w14:textId="5DE60890" w:rsidR="002F720A" w:rsidRDefault="002F720A" w:rsidP="008458D6">
      <w:pPr>
        <w:jc w:val="both"/>
        <w:rPr>
          <w:rFonts w:ascii="Palatino Linotype" w:hAnsi="Palatino Linotype"/>
          <w:b/>
          <w:sz w:val="16"/>
          <w:szCs w:val="16"/>
          <w:lang w:val="tg-Cyrl-TJ"/>
        </w:rPr>
      </w:pPr>
    </w:p>
    <w:p w14:paraId="5CE37758" w14:textId="1D664E8D" w:rsidR="002F720A" w:rsidRDefault="002F720A" w:rsidP="008458D6">
      <w:pPr>
        <w:jc w:val="both"/>
        <w:rPr>
          <w:rFonts w:ascii="Palatino Linotype" w:hAnsi="Palatino Linotype"/>
          <w:b/>
          <w:sz w:val="16"/>
          <w:szCs w:val="16"/>
          <w:lang w:val="tg-Cyrl-TJ"/>
        </w:rPr>
      </w:pPr>
    </w:p>
    <w:p w14:paraId="78E03A0E" w14:textId="4D202C30" w:rsidR="002F720A" w:rsidRDefault="002F720A" w:rsidP="008458D6">
      <w:pPr>
        <w:jc w:val="both"/>
        <w:rPr>
          <w:rFonts w:ascii="Palatino Linotype" w:hAnsi="Palatino Linotype"/>
          <w:b/>
          <w:sz w:val="16"/>
          <w:szCs w:val="16"/>
          <w:lang w:val="tg-Cyrl-TJ"/>
        </w:rPr>
      </w:pPr>
    </w:p>
    <w:p w14:paraId="664C0613" w14:textId="77777777" w:rsidR="002F720A" w:rsidRPr="002F720A" w:rsidRDefault="002F720A" w:rsidP="008458D6">
      <w:pPr>
        <w:jc w:val="both"/>
        <w:rPr>
          <w:rFonts w:ascii="Palatino Linotype" w:hAnsi="Palatino Linotype"/>
          <w:b/>
          <w:sz w:val="16"/>
          <w:szCs w:val="16"/>
          <w:lang w:val="tg-Cyrl-TJ"/>
        </w:rPr>
      </w:pPr>
    </w:p>
    <w:p w14:paraId="60349425" w14:textId="5A18D4BE" w:rsidR="008458D6" w:rsidRDefault="008458D6" w:rsidP="002F720A">
      <w:pPr>
        <w:ind w:firstLine="360"/>
        <w:jc w:val="center"/>
        <w:rPr>
          <w:rFonts w:ascii="Palatino Linotype" w:hAnsi="Palatino Linotype"/>
          <w:b/>
          <w:sz w:val="16"/>
          <w:szCs w:val="16"/>
        </w:rPr>
      </w:pPr>
      <w:r w:rsidRPr="002F720A">
        <w:rPr>
          <w:rFonts w:ascii="Palatino Linotype" w:hAnsi="Palatino Linotype"/>
          <w:b/>
          <w:sz w:val="28"/>
          <w:szCs w:val="28"/>
        </w:rPr>
        <w:t>Обращения граждан</w:t>
      </w:r>
    </w:p>
    <w:p w14:paraId="05A65AC3" w14:textId="77777777" w:rsidR="002F720A" w:rsidRPr="002F720A" w:rsidRDefault="002F720A" w:rsidP="002F720A">
      <w:pPr>
        <w:ind w:firstLine="360"/>
        <w:jc w:val="center"/>
        <w:rPr>
          <w:rFonts w:ascii="Palatino Linotype" w:hAnsi="Palatino Linotype"/>
          <w:b/>
          <w:sz w:val="16"/>
          <w:szCs w:val="16"/>
        </w:rPr>
      </w:pPr>
    </w:p>
    <w:p w14:paraId="5C243AAA" w14:textId="77777777" w:rsidR="008458D6" w:rsidRPr="002F720A" w:rsidRDefault="008458D6" w:rsidP="003674AB">
      <w:pPr>
        <w:ind w:firstLine="360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 xml:space="preserve">Национальный банк Таджикистана осуществляет постоянный контроль соблюдения и исполнения требований Закона Республики Таджикистан </w:t>
      </w:r>
      <w:r w:rsidR="003674AB" w:rsidRPr="002F720A">
        <w:rPr>
          <w:rFonts w:ascii="Palatino Linotype" w:hAnsi="Palatino Linotype"/>
          <w:sz w:val="28"/>
          <w:szCs w:val="28"/>
        </w:rPr>
        <w:t>«Об обращениях физических и юридических лиц».</w:t>
      </w:r>
    </w:p>
    <w:p w14:paraId="74EB62D2" w14:textId="77777777" w:rsidR="008458D6" w:rsidRPr="002F720A" w:rsidRDefault="008458D6" w:rsidP="00576565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lastRenderedPageBreak/>
        <w:t xml:space="preserve">На основании этого, за отчетный </w:t>
      </w:r>
      <w:r w:rsidR="003674AB" w:rsidRPr="002F720A">
        <w:rPr>
          <w:rFonts w:ascii="Palatino Linotype" w:hAnsi="Palatino Linotype"/>
          <w:sz w:val="28"/>
          <w:szCs w:val="28"/>
        </w:rPr>
        <w:t>г</w:t>
      </w:r>
      <w:r w:rsidRPr="002F720A">
        <w:rPr>
          <w:rFonts w:ascii="Palatino Linotype" w:hAnsi="Palatino Linotype"/>
          <w:sz w:val="28"/>
          <w:szCs w:val="28"/>
        </w:rPr>
        <w:t>од в Национальн</w:t>
      </w:r>
      <w:r w:rsidR="003674AB" w:rsidRPr="002F720A">
        <w:rPr>
          <w:rFonts w:ascii="Palatino Linotype" w:hAnsi="Palatino Linotype"/>
          <w:sz w:val="28"/>
          <w:szCs w:val="28"/>
        </w:rPr>
        <w:t>ый банк Таджикистана поступило 1 836</w:t>
      </w:r>
      <w:r w:rsidRPr="002F720A">
        <w:rPr>
          <w:rFonts w:ascii="Palatino Linotype" w:hAnsi="Palatino Linotype"/>
          <w:sz w:val="28"/>
          <w:szCs w:val="28"/>
        </w:rPr>
        <w:t xml:space="preserve"> обращени</w:t>
      </w:r>
      <w:r w:rsidR="003674AB" w:rsidRPr="002F720A">
        <w:rPr>
          <w:rFonts w:ascii="Palatino Linotype" w:hAnsi="Palatino Linotype"/>
          <w:sz w:val="28"/>
          <w:szCs w:val="28"/>
        </w:rPr>
        <w:t>й</w:t>
      </w:r>
      <w:r w:rsidRPr="002F720A">
        <w:rPr>
          <w:rFonts w:ascii="Palatino Linotype" w:hAnsi="Palatino Linotype"/>
          <w:sz w:val="28"/>
          <w:szCs w:val="28"/>
        </w:rPr>
        <w:t xml:space="preserve"> для рассмотрения, в том числе </w:t>
      </w:r>
      <w:r w:rsidR="003674AB" w:rsidRPr="002F720A">
        <w:rPr>
          <w:rFonts w:ascii="Palatino Linotype" w:hAnsi="Palatino Linotype"/>
          <w:sz w:val="28"/>
          <w:szCs w:val="28"/>
        </w:rPr>
        <w:t>932</w:t>
      </w:r>
      <w:r w:rsidRPr="002F720A">
        <w:rPr>
          <w:rFonts w:ascii="Palatino Linotype" w:hAnsi="Palatino Linotype"/>
          <w:sz w:val="28"/>
          <w:szCs w:val="28"/>
        </w:rPr>
        <w:t xml:space="preserve"> обращений через телефон доверия, </w:t>
      </w:r>
      <w:r w:rsidR="003674AB" w:rsidRPr="002F720A">
        <w:rPr>
          <w:rFonts w:ascii="Palatino Linotype" w:hAnsi="Palatino Linotype"/>
          <w:sz w:val="28"/>
          <w:szCs w:val="28"/>
        </w:rPr>
        <w:t>422</w:t>
      </w:r>
      <w:r w:rsidRPr="002F720A">
        <w:rPr>
          <w:rFonts w:ascii="Palatino Linotype" w:hAnsi="Palatino Linotype"/>
          <w:sz w:val="28"/>
          <w:szCs w:val="28"/>
        </w:rPr>
        <w:t xml:space="preserve"> обращени</w:t>
      </w:r>
      <w:r w:rsidR="003674AB" w:rsidRPr="002F720A">
        <w:rPr>
          <w:rFonts w:ascii="Palatino Linotype" w:hAnsi="Palatino Linotype"/>
          <w:sz w:val="28"/>
          <w:szCs w:val="28"/>
        </w:rPr>
        <w:t>я</w:t>
      </w:r>
      <w:r w:rsidRPr="002F720A">
        <w:rPr>
          <w:rFonts w:ascii="Palatino Linotype" w:hAnsi="Palatino Linotype"/>
          <w:sz w:val="28"/>
          <w:szCs w:val="28"/>
        </w:rPr>
        <w:t xml:space="preserve"> при приёме граждан, </w:t>
      </w:r>
      <w:r w:rsidR="001D4F36" w:rsidRPr="002F720A">
        <w:rPr>
          <w:rFonts w:ascii="Palatino Linotype" w:hAnsi="Palatino Linotype"/>
          <w:sz w:val="28"/>
          <w:szCs w:val="28"/>
        </w:rPr>
        <w:t>425</w:t>
      </w:r>
      <w:r w:rsidRPr="002F720A">
        <w:rPr>
          <w:rFonts w:ascii="Palatino Linotype" w:hAnsi="Palatino Linotype"/>
          <w:sz w:val="28"/>
          <w:szCs w:val="28"/>
        </w:rPr>
        <w:t xml:space="preserve"> </w:t>
      </w:r>
      <w:r w:rsidR="00160E45" w:rsidRPr="002F720A">
        <w:rPr>
          <w:rFonts w:ascii="Palatino Linotype" w:hAnsi="Palatino Linotype"/>
          <w:sz w:val="28"/>
          <w:szCs w:val="28"/>
        </w:rPr>
        <w:t>обращений в</w:t>
      </w:r>
      <w:r w:rsidRPr="002F720A">
        <w:rPr>
          <w:rFonts w:ascii="Palatino Linotype" w:hAnsi="Palatino Linotype"/>
          <w:sz w:val="28"/>
          <w:szCs w:val="28"/>
        </w:rPr>
        <w:t xml:space="preserve"> письменной форме (заявления) и </w:t>
      </w:r>
      <w:r w:rsidR="001D4F36" w:rsidRPr="002F720A">
        <w:rPr>
          <w:rFonts w:ascii="Palatino Linotype" w:hAnsi="Palatino Linotype"/>
          <w:sz w:val="28"/>
          <w:szCs w:val="28"/>
        </w:rPr>
        <w:t>57</w:t>
      </w:r>
      <w:r w:rsidRPr="002F720A">
        <w:rPr>
          <w:rFonts w:ascii="Palatino Linotype" w:hAnsi="Palatino Linotype"/>
          <w:sz w:val="28"/>
          <w:szCs w:val="28"/>
        </w:rPr>
        <w:t xml:space="preserve"> обра</w:t>
      </w:r>
      <w:r w:rsidR="001D4F36" w:rsidRPr="002F720A">
        <w:rPr>
          <w:rFonts w:ascii="Palatino Linotype" w:hAnsi="Palatino Linotype"/>
          <w:sz w:val="28"/>
          <w:szCs w:val="28"/>
        </w:rPr>
        <w:t xml:space="preserve">щений через электронную почту, </w:t>
      </w:r>
      <w:r w:rsidR="00445E34" w:rsidRPr="002F720A">
        <w:rPr>
          <w:rFonts w:ascii="Palatino Linotype" w:hAnsi="Palatino Linotype"/>
          <w:color w:val="000000" w:themeColor="text1"/>
          <w:sz w:val="28"/>
          <w:szCs w:val="28"/>
        </w:rPr>
        <w:t>которые в общем были удовлетворены в соответствии с установленным порядком</w:t>
      </w:r>
      <w:r w:rsidR="00160E45" w:rsidRPr="002F720A">
        <w:rPr>
          <w:rFonts w:ascii="Palatino Linotype" w:hAnsi="Palatino Linotype"/>
          <w:sz w:val="28"/>
          <w:szCs w:val="28"/>
        </w:rPr>
        <w:t xml:space="preserve">. </w:t>
      </w:r>
    </w:p>
    <w:p w14:paraId="053B150B" w14:textId="77777777" w:rsidR="008458D6" w:rsidRPr="002F720A" w:rsidRDefault="008458D6" w:rsidP="008458D6">
      <w:pPr>
        <w:ind w:firstLine="360"/>
        <w:jc w:val="center"/>
        <w:rPr>
          <w:rFonts w:ascii="Palatino Linotype" w:hAnsi="Palatino Linotype"/>
          <w:b/>
          <w:sz w:val="28"/>
          <w:szCs w:val="28"/>
        </w:rPr>
      </w:pPr>
    </w:p>
    <w:p w14:paraId="46A2F91F" w14:textId="77777777" w:rsidR="008458D6" w:rsidRPr="002F720A" w:rsidRDefault="008458D6" w:rsidP="008458D6">
      <w:pPr>
        <w:ind w:firstLine="360"/>
        <w:jc w:val="center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>КАДРОВАЯ ПОЛИТИКА</w:t>
      </w:r>
    </w:p>
    <w:p w14:paraId="753C07F4" w14:textId="77777777" w:rsidR="008458D6" w:rsidRPr="002F720A" w:rsidRDefault="008458D6" w:rsidP="00445E34">
      <w:pPr>
        <w:rPr>
          <w:rFonts w:ascii="Palatino Linotype" w:hAnsi="Palatino Linotype"/>
          <w:b/>
          <w:sz w:val="16"/>
          <w:szCs w:val="16"/>
        </w:rPr>
      </w:pPr>
    </w:p>
    <w:p w14:paraId="1B0A18D9" w14:textId="77777777" w:rsidR="008458D6" w:rsidRPr="002F720A" w:rsidRDefault="008458D6" w:rsidP="008458D6">
      <w:pPr>
        <w:ind w:firstLine="360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 xml:space="preserve">Национальный банк Таджикистана и кредитные финансовые организации уделяют особое внимание привлечению наибольшего количества квалифицированных и опытных специалистов женского пола на работу в учреждения банковской системы и их выдвижению на руководящие должности.  </w:t>
      </w:r>
    </w:p>
    <w:p w14:paraId="6D680463" w14:textId="77777777" w:rsidR="008458D6" w:rsidRPr="002F720A" w:rsidRDefault="008458D6" w:rsidP="008458D6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color w:val="000000" w:themeColor="text1"/>
          <w:sz w:val="28"/>
          <w:szCs w:val="28"/>
        </w:rPr>
        <w:t>Согласно статистическим данным</w:t>
      </w:r>
      <w:r w:rsidRPr="002F720A">
        <w:rPr>
          <w:rFonts w:ascii="Palatino Linotype" w:hAnsi="Palatino Linotype"/>
          <w:color w:val="FF0000"/>
          <w:sz w:val="28"/>
          <w:szCs w:val="28"/>
        </w:rPr>
        <w:t xml:space="preserve"> </w:t>
      </w:r>
      <w:r w:rsidRPr="002F720A">
        <w:rPr>
          <w:rFonts w:ascii="Palatino Linotype" w:hAnsi="Palatino Linotype"/>
          <w:sz w:val="28"/>
          <w:szCs w:val="28"/>
        </w:rPr>
        <w:t xml:space="preserve">на </w:t>
      </w:r>
      <w:r w:rsidR="00576565" w:rsidRPr="002F720A">
        <w:rPr>
          <w:rFonts w:ascii="Palatino Linotype" w:hAnsi="Palatino Linotype"/>
          <w:sz w:val="28"/>
          <w:szCs w:val="28"/>
        </w:rPr>
        <w:t>конец отчетного года</w:t>
      </w:r>
      <w:r w:rsidRPr="002F720A">
        <w:rPr>
          <w:rFonts w:ascii="Palatino Linotype" w:hAnsi="Palatino Linotype"/>
          <w:sz w:val="28"/>
          <w:szCs w:val="28"/>
        </w:rPr>
        <w:t xml:space="preserve"> общее число работников банковской системы составляет </w:t>
      </w:r>
      <w:r w:rsidR="00513B6A" w:rsidRPr="002F720A">
        <w:rPr>
          <w:rFonts w:ascii="Palatino Linotype" w:hAnsi="Palatino Linotype"/>
          <w:sz w:val="28"/>
          <w:szCs w:val="28"/>
        </w:rPr>
        <w:t>22 424</w:t>
      </w:r>
      <w:r w:rsidRPr="002F720A">
        <w:rPr>
          <w:rFonts w:ascii="Palatino Linotype" w:hAnsi="Palatino Linotype"/>
          <w:sz w:val="28"/>
          <w:szCs w:val="28"/>
        </w:rPr>
        <w:t xml:space="preserve">, из этого </w:t>
      </w:r>
      <w:r w:rsidR="00513B6A" w:rsidRPr="002F720A">
        <w:rPr>
          <w:rFonts w:ascii="Palatino Linotype" w:hAnsi="Palatino Linotype"/>
          <w:sz w:val="28"/>
          <w:szCs w:val="28"/>
        </w:rPr>
        <w:t>9</w:t>
      </w:r>
      <w:r w:rsidRPr="002F720A">
        <w:rPr>
          <w:rFonts w:ascii="Palatino Linotype" w:hAnsi="Palatino Linotype"/>
          <w:sz w:val="28"/>
          <w:szCs w:val="28"/>
        </w:rPr>
        <w:t> </w:t>
      </w:r>
      <w:r w:rsidR="00513B6A" w:rsidRPr="002F720A">
        <w:rPr>
          <w:rFonts w:ascii="Palatino Linotype" w:hAnsi="Palatino Linotype"/>
          <w:sz w:val="28"/>
          <w:szCs w:val="28"/>
        </w:rPr>
        <w:t>175 (или 40,9</w:t>
      </w:r>
      <w:r w:rsidRPr="002F720A">
        <w:rPr>
          <w:rFonts w:ascii="Palatino Linotype" w:hAnsi="Palatino Linotype"/>
          <w:sz w:val="28"/>
          <w:szCs w:val="28"/>
        </w:rPr>
        <w:t xml:space="preserve"> процента от общего объёма) составляют женщины, что по сравнению с прошл</w:t>
      </w:r>
      <w:r w:rsidR="00A617AF" w:rsidRPr="002F720A">
        <w:rPr>
          <w:rFonts w:ascii="Palatino Linotype" w:hAnsi="Palatino Linotype"/>
          <w:sz w:val="28"/>
          <w:szCs w:val="28"/>
        </w:rPr>
        <w:t>ым годом</w:t>
      </w:r>
      <w:r w:rsidRPr="002F720A">
        <w:rPr>
          <w:rFonts w:ascii="Palatino Linotype" w:hAnsi="Palatino Linotype"/>
          <w:sz w:val="28"/>
          <w:szCs w:val="28"/>
        </w:rPr>
        <w:t xml:space="preserve"> больше на 7</w:t>
      </w:r>
      <w:r w:rsidR="00513B6A" w:rsidRPr="002F720A">
        <w:rPr>
          <w:rFonts w:ascii="Palatino Linotype" w:hAnsi="Palatino Linotype"/>
          <w:sz w:val="28"/>
          <w:szCs w:val="28"/>
        </w:rPr>
        <w:t>44</w:t>
      </w:r>
      <w:r w:rsidRPr="002F720A">
        <w:rPr>
          <w:rFonts w:ascii="Palatino Linotype" w:hAnsi="Palatino Linotype"/>
          <w:sz w:val="28"/>
          <w:szCs w:val="28"/>
        </w:rPr>
        <w:t>.</w:t>
      </w:r>
    </w:p>
    <w:p w14:paraId="4A7D35B6" w14:textId="77777777" w:rsidR="00B907A4" w:rsidRPr="002F720A" w:rsidRDefault="00513B6A" w:rsidP="00B907A4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 xml:space="preserve">Из этого числа 8 587 </w:t>
      </w:r>
      <w:r w:rsidR="008458D6" w:rsidRPr="002F720A">
        <w:rPr>
          <w:rFonts w:ascii="Palatino Linotype" w:hAnsi="Palatino Linotype"/>
          <w:sz w:val="28"/>
          <w:szCs w:val="28"/>
        </w:rPr>
        <w:t>работают в качестве специалистов фронт-офиса</w:t>
      </w:r>
      <w:r w:rsidR="00B907A4" w:rsidRPr="002F720A">
        <w:rPr>
          <w:rFonts w:ascii="Palatino Linotype" w:hAnsi="Palatino Linotype"/>
          <w:sz w:val="28"/>
          <w:szCs w:val="28"/>
        </w:rPr>
        <w:t xml:space="preserve"> (4 796) и бэк-офиса (3 791)</w:t>
      </w:r>
      <w:r w:rsidR="008458D6" w:rsidRPr="002F720A">
        <w:rPr>
          <w:rFonts w:ascii="Palatino Linotype" w:hAnsi="Palatino Linotype"/>
          <w:sz w:val="28"/>
          <w:szCs w:val="28"/>
        </w:rPr>
        <w:t>. От общего числа женщин, работающих в банковской систем</w:t>
      </w:r>
      <w:r w:rsidR="00B168F8" w:rsidRPr="002F720A">
        <w:rPr>
          <w:rFonts w:ascii="Palatino Linotype" w:hAnsi="Palatino Linotype"/>
          <w:sz w:val="28"/>
          <w:szCs w:val="28"/>
        </w:rPr>
        <w:t>е, 58</w:t>
      </w:r>
      <w:r w:rsidR="008458D6" w:rsidRPr="002F720A">
        <w:rPr>
          <w:rFonts w:ascii="Palatino Linotype" w:hAnsi="Palatino Linotype"/>
          <w:sz w:val="28"/>
          <w:szCs w:val="28"/>
        </w:rPr>
        <w:t>8</w:t>
      </w:r>
      <w:r w:rsidR="00B168F8" w:rsidRPr="002F720A">
        <w:rPr>
          <w:rFonts w:ascii="Palatino Linotype" w:hAnsi="Palatino Linotype"/>
          <w:sz w:val="28"/>
          <w:szCs w:val="28"/>
        </w:rPr>
        <w:t xml:space="preserve"> занимают руководящие должности.</w:t>
      </w:r>
    </w:p>
    <w:p w14:paraId="408268C0" w14:textId="77777777" w:rsidR="008458D6" w:rsidRPr="002F720A" w:rsidRDefault="008458D6" w:rsidP="00B168F8">
      <w:pPr>
        <w:jc w:val="both"/>
        <w:rPr>
          <w:rFonts w:ascii="Palatino Linotype" w:hAnsi="Palatino Linotype"/>
          <w:sz w:val="28"/>
          <w:szCs w:val="28"/>
        </w:rPr>
      </w:pPr>
    </w:p>
    <w:p w14:paraId="65F95B39" w14:textId="77777777" w:rsidR="008458D6" w:rsidRPr="002F720A" w:rsidRDefault="008458D6" w:rsidP="002F720A">
      <w:pPr>
        <w:ind w:firstLine="708"/>
        <w:jc w:val="center"/>
        <w:rPr>
          <w:rFonts w:ascii="Palatino Linotype" w:hAnsi="Palatino Linotype"/>
          <w:b/>
          <w:sz w:val="28"/>
          <w:szCs w:val="28"/>
          <w:lang w:val="tg-Cyrl-TJ"/>
        </w:rPr>
      </w:pPr>
      <w:r w:rsidRPr="002F720A">
        <w:rPr>
          <w:rFonts w:ascii="Palatino Linotype" w:hAnsi="Palatino Linotype"/>
          <w:b/>
          <w:sz w:val="28"/>
          <w:szCs w:val="28"/>
          <w:lang w:val="tg-Cyrl-TJ"/>
        </w:rPr>
        <w:t>Международные отношения</w:t>
      </w:r>
    </w:p>
    <w:p w14:paraId="2A2D92DE" w14:textId="77777777" w:rsidR="008458D6" w:rsidRPr="002F720A" w:rsidRDefault="008458D6" w:rsidP="008458D6">
      <w:pPr>
        <w:ind w:firstLine="708"/>
        <w:jc w:val="both"/>
        <w:rPr>
          <w:rFonts w:ascii="Palatino Linotype" w:hAnsi="Palatino Linotype"/>
          <w:b/>
          <w:sz w:val="16"/>
          <w:szCs w:val="16"/>
          <w:lang w:val="tg-Cyrl-TJ"/>
        </w:rPr>
      </w:pPr>
    </w:p>
    <w:p w14:paraId="31681D79" w14:textId="0C6B2A90" w:rsidR="008458D6" w:rsidRPr="002F720A" w:rsidRDefault="002F720A" w:rsidP="008458D6">
      <w:pPr>
        <w:ind w:firstLine="36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8458D6" w:rsidRPr="002F720A">
        <w:rPr>
          <w:rFonts w:ascii="Palatino Linotype" w:hAnsi="Palatino Linotype"/>
          <w:sz w:val="28"/>
          <w:szCs w:val="28"/>
        </w:rPr>
        <w:t>Национальный банк Таджикистана осуществляет плодотворное сотрудничество с такими международными финансовыми организациями, как Международный Валютный Фонд (МВФ), Всемирный Банк, Европейский банк реконструкции и развития, Азиатский банк развития, Исламский банк развития, Евразийский банк развития, Межгосударственный банк, Альянс финансовой доступности, с международными фондами, центральными (национальными) банками и банковскими структурами зарубежных стран.</w:t>
      </w:r>
    </w:p>
    <w:p w14:paraId="023F8819" w14:textId="064C9029" w:rsidR="00B1145B" w:rsidRPr="002F720A" w:rsidRDefault="002F720A" w:rsidP="00B1145B">
      <w:pPr>
        <w:ind w:firstLine="35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7C0A08" w:rsidRPr="002F720A">
        <w:rPr>
          <w:rFonts w:ascii="Palatino Linotype" w:hAnsi="Palatino Linotype"/>
          <w:sz w:val="28"/>
          <w:szCs w:val="28"/>
        </w:rPr>
        <w:t xml:space="preserve">В результате осуществления </w:t>
      </w:r>
      <w:r w:rsidR="00947C0D" w:rsidRPr="002F720A">
        <w:rPr>
          <w:rFonts w:ascii="Palatino Linotype" w:hAnsi="Palatino Linotype"/>
          <w:sz w:val="28"/>
          <w:szCs w:val="28"/>
        </w:rPr>
        <w:t>необходим</w:t>
      </w:r>
      <w:r w:rsidR="007C0A08" w:rsidRPr="002F720A">
        <w:rPr>
          <w:rFonts w:ascii="Palatino Linotype" w:hAnsi="Palatino Linotype"/>
          <w:sz w:val="28"/>
          <w:szCs w:val="28"/>
        </w:rPr>
        <w:t>ых мер за 2025 год в банковскую систему страны привлечены иностранные инвестиции на сумму 6</w:t>
      </w:r>
      <w:r w:rsidR="009136AE" w:rsidRPr="002F720A">
        <w:rPr>
          <w:rFonts w:ascii="Palatino Linotype" w:hAnsi="Palatino Linotype"/>
          <w:sz w:val="28"/>
          <w:szCs w:val="28"/>
        </w:rPr>
        <w:t>,01</w:t>
      </w:r>
      <w:r w:rsidR="007C0A08" w:rsidRPr="002F720A">
        <w:rPr>
          <w:rFonts w:ascii="Palatino Linotype" w:hAnsi="Palatino Linotype"/>
          <w:sz w:val="28"/>
          <w:szCs w:val="28"/>
        </w:rPr>
        <w:t xml:space="preserve"> мл</w:t>
      </w:r>
      <w:r w:rsidR="009136AE" w:rsidRPr="002F720A">
        <w:rPr>
          <w:rFonts w:ascii="Palatino Linotype" w:hAnsi="Palatino Linotype"/>
          <w:sz w:val="28"/>
          <w:szCs w:val="28"/>
        </w:rPr>
        <w:t>рд</w:t>
      </w:r>
      <w:r w:rsidR="007C0A08" w:rsidRPr="002F720A">
        <w:rPr>
          <w:rFonts w:ascii="Palatino Linotype" w:hAnsi="Palatino Linotype"/>
          <w:sz w:val="28"/>
          <w:szCs w:val="28"/>
        </w:rPr>
        <w:t xml:space="preserve"> долл. США</w:t>
      </w:r>
      <w:r w:rsidR="00B1145B" w:rsidRPr="002F720A">
        <w:rPr>
          <w:rFonts w:ascii="Palatino Linotype" w:hAnsi="Palatino Linotype"/>
          <w:sz w:val="28"/>
          <w:szCs w:val="28"/>
        </w:rPr>
        <w:t xml:space="preserve"> (кредиты, прямые и прочие инвестиции), что на 43,4 процента больше по сравнению с прошлым годом.</w:t>
      </w:r>
    </w:p>
    <w:p w14:paraId="5A54D217" w14:textId="63265DC7" w:rsidR="000B709F" w:rsidRPr="002F720A" w:rsidRDefault="002F720A" w:rsidP="00AB6B0D">
      <w:pPr>
        <w:ind w:firstLine="35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0B709F" w:rsidRPr="002F720A">
        <w:rPr>
          <w:rFonts w:ascii="Palatino Linotype" w:hAnsi="Palatino Linotype"/>
          <w:sz w:val="28"/>
          <w:szCs w:val="28"/>
        </w:rPr>
        <w:t xml:space="preserve">За отчетный период </w:t>
      </w:r>
      <w:r w:rsidR="007A57AA" w:rsidRPr="002F720A">
        <w:rPr>
          <w:rFonts w:ascii="Palatino Linotype" w:hAnsi="Palatino Linotype"/>
          <w:sz w:val="28"/>
          <w:szCs w:val="28"/>
        </w:rPr>
        <w:t xml:space="preserve">был проведен второй и третий (заключительный) обзор Программы «Инструмента координации </w:t>
      </w:r>
      <w:r w:rsidR="007A57AA" w:rsidRPr="002F720A">
        <w:rPr>
          <w:rFonts w:ascii="Palatino Linotype" w:hAnsi="Palatino Linotype"/>
          <w:sz w:val="28"/>
          <w:szCs w:val="28"/>
        </w:rPr>
        <w:lastRenderedPageBreak/>
        <w:t>политики (</w:t>
      </w:r>
      <w:r w:rsidR="007A57AA" w:rsidRPr="002F720A">
        <w:rPr>
          <w:rFonts w:ascii="Palatino Linotype" w:hAnsi="Palatino Linotype"/>
          <w:sz w:val="28"/>
          <w:szCs w:val="28"/>
          <w:lang w:val="en-US"/>
        </w:rPr>
        <w:t>PCI</w:t>
      </w:r>
      <w:r w:rsidR="007A57AA" w:rsidRPr="002F720A">
        <w:rPr>
          <w:rFonts w:ascii="Palatino Linotype" w:hAnsi="Palatino Linotype"/>
          <w:sz w:val="28"/>
          <w:szCs w:val="28"/>
        </w:rPr>
        <w:t xml:space="preserve">) для Республики Таджикистан. </w:t>
      </w:r>
      <w:r w:rsidR="000B709F" w:rsidRPr="002F720A">
        <w:rPr>
          <w:rFonts w:ascii="Palatino Linotype" w:hAnsi="Palatino Linotype"/>
          <w:sz w:val="28"/>
          <w:szCs w:val="28"/>
        </w:rPr>
        <w:t>Международн</w:t>
      </w:r>
      <w:r w:rsidR="00FF5D69" w:rsidRPr="002F720A">
        <w:rPr>
          <w:rFonts w:ascii="Palatino Linotype" w:hAnsi="Palatino Linotype"/>
          <w:sz w:val="28"/>
          <w:szCs w:val="28"/>
        </w:rPr>
        <w:t>ый</w:t>
      </w:r>
      <w:r w:rsidR="000B709F" w:rsidRPr="002F720A">
        <w:rPr>
          <w:rFonts w:ascii="Palatino Linotype" w:hAnsi="Palatino Linotype"/>
          <w:sz w:val="28"/>
          <w:szCs w:val="28"/>
        </w:rPr>
        <w:t xml:space="preserve"> валютн</w:t>
      </w:r>
      <w:r w:rsidR="00FF5D69" w:rsidRPr="002F720A">
        <w:rPr>
          <w:rFonts w:ascii="Palatino Linotype" w:hAnsi="Palatino Linotype"/>
          <w:sz w:val="28"/>
          <w:szCs w:val="28"/>
        </w:rPr>
        <w:t>ый</w:t>
      </w:r>
      <w:r w:rsidR="000B709F" w:rsidRPr="002F720A">
        <w:rPr>
          <w:rFonts w:ascii="Palatino Linotype" w:hAnsi="Palatino Linotype"/>
          <w:sz w:val="28"/>
          <w:szCs w:val="28"/>
        </w:rPr>
        <w:t xml:space="preserve"> фонд </w:t>
      </w:r>
      <w:r w:rsidR="00FF5D69" w:rsidRPr="002F720A">
        <w:rPr>
          <w:rFonts w:ascii="Palatino Linotype" w:hAnsi="Palatino Linotype"/>
          <w:sz w:val="28"/>
          <w:szCs w:val="28"/>
        </w:rPr>
        <w:t>положительно оценил</w:t>
      </w:r>
      <w:r w:rsidR="002D5065" w:rsidRPr="002F720A">
        <w:rPr>
          <w:rFonts w:ascii="Palatino Linotype" w:hAnsi="Palatino Linotype"/>
          <w:sz w:val="28"/>
          <w:szCs w:val="28"/>
        </w:rPr>
        <w:t xml:space="preserve"> исполнение обяз</w:t>
      </w:r>
      <w:r w:rsidR="00CA7856" w:rsidRPr="002F720A">
        <w:rPr>
          <w:rFonts w:ascii="Palatino Linotype" w:hAnsi="Palatino Linotype"/>
          <w:sz w:val="28"/>
          <w:szCs w:val="28"/>
        </w:rPr>
        <w:t>атель</w:t>
      </w:r>
      <w:r w:rsidR="002D5065" w:rsidRPr="002F720A">
        <w:rPr>
          <w:rFonts w:ascii="Palatino Linotype" w:hAnsi="Palatino Linotype"/>
          <w:sz w:val="28"/>
          <w:szCs w:val="28"/>
        </w:rPr>
        <w:t xml:space="preserve">ств и реализацию реформ в рамках </w:t>
      </w:r>
      <w:r w:rsidR="00FB27EF" w:rsidRPr="002F720A">
        <w:rPr>
          <w:rFonts w:ascii="Palatino Linotype" w:hAnsi="Palatino Linotype"/>
          <w:sz w:val="28"/>
          <w:szCs w:val="28"/>
        </w:rPr>
        <w:t>Программы PCI</w:t>
      </w:r>
      <w:r w:rsidR="00CA7856" w:rsidRPr="002F720A">
        <w:rPr>
          <w:rFonts w:ascii="Palatino Linotype" w:hAnsi="Palatino Linotype"/>
          <w:sz w:val="28"/>
          <w:szCs w:val="28"/>
        </w:rPr>
        <w:t xml:space="preserve">, а </w:t>
      </w:r>
      <w:r w:rsidR="00067C91" w:rsidRPr="002F720A">
        <w:rPr>
          <w:rFonts w:ascii="Palatino Linotype" w:hAnsi="Palatino Linotype"/>
          <w:sz w:val="28"/>
          <w:szCs w:val="28"/>
        </w:rPr>
        <w:t xml:space="preserve">результаты оценок </w:t>
      </w:r>
      <w:r w:rsidR="000B709F" w:rsidRPr="002F720A">
        <w:rPr>
          <w:rFonts w:ascii="Palatino Linotype" w:hAnsi="Palatino Linotype"/>
          <w:sz w:val="28"/>
          <w:szCs w:val="28"/>
        </w:rPr>
        <w:t>опубликова</w:t>
      </w:r>
      <w:r w:rsidR="00067C91" w:rsidRPr="002F720A">
        <w:rPr>
          <w:rFonts w:ascii="Palatino Linotype" w:hAnsi="Palatino Linotype"/>
          <w:sz w:val="28"/>
          <w:szCs w:val="28"/>
        </w:rPr>
        <w:t>ны не официальном сайте МВФ.</w:t>
      </w:r>
      <w:r w:rsidR="00AB6B0D" w:rsidRPr="002F720A">
        <w:rPr>
          <w:rFonts w:ascii="Palatino Linotype" w:hAnsi="Palatino Linotype"/>
          <w:sz w:val="28"/>
          <w:szCs w:val="28"/>
        </w:rPr>
        <w:t xml:space="preserve"> Усп</w:t>
      </w:r>
      <w:r w:rsidR="00FB27EF" w:rsidRPr="002F720A">
        <w:rPr>
          <w:rFonts w:ascii="Palatino Linotype" w:hAnsi="Palatino Linotype"/>
          <w:sz w:val="28"/>
          <w:szCs w:val="28"/>
        </w:rPr>
        <w:t>ешная реализация Программы PCI</w:t>
      </w:r>
      <w:r w:rsidR="00AB6B0D" w:rsidRPr="002F720A">
        <w:rPr>
          <w:rFonts w:ascii="Palatino Linotype" w:hAnsi="Palatino Linotype"/>
          <w:sz w:val="28"/>
          <w:szCs w:val="28"/>
        </w:rPr>
        <w:t xml:space="preserve"> способствовала укреплению макроэкономической устойчивости, повышению стабильности бюджетно</w:t>
      </w:r>
      <w:r w:rsidR="001E2B33" w:rsidRPr="002F720A">
        <w:rPr>
          <w:rFonts w:ascii="Palatino Linotype" w:hAnsi="Palatino Linotype"/>
          <w:sz w:val="28"/>
          <w:szCs w:val="28"/>
        </w:rPr>
        <w:t>-</w:t>
      </w:r>
      <w:r w:rsidR="00AB6B0D" w:rsidRPr="002F720A">
        <w:rPr>
          <w:rFonts w:ascii="Palatino Linotype" w:hAnsi="Palatino Linotype"/>
          <w:sz w:val="28"/>
          <w:szCs w:val="28"/>
        </w:rPr>
        <w:t>налого</w:t>
      </w:r>
      <w:r w:rsidR="001E2B33" w:rsidRPr="002F720A">
        <w:rPr>
          <w:rFonts w:ascii="Palatino Linotype" w:hAnsi="Palatino Linotype"/>
          <w:sz w:val="28"/>
          <w:szCs w:val="28"/>
        </w:rPr>
        <w:t>вой и</w:t>
      </w:r>
      <w:r w:rsidR="00AB6B0D" w:rsidRPr="002F720A">
        <w:rPr>
          <w:rFonts w:ascii="Palatino Linotype" w:hAnsi="Palatino Linotype"/>
          <w:sz w:val="28"/>
          <w:szCs w:val="28"/>
        </w:rPr>
        <w:t xml:space="preserve"> денежно-кредитной политики, </w:t>
      </w:r>
      <w:r w:rsidR="001E2B33" w:rsidRPr="002F720A">
        <w:rPr>
          <w:rFonts w:ascii="Palatino Linotype" w:hAnsi="Palatino Linotype"/>
          <w:sz w:val="28"/>
          <w:szCs w:val="28"/>
        </w:rPr>
        <w:t>совершенствованию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1E2B33" w:rsidRPr="002F720A">
        <w:rPr>
          <w:rFonts w:ascii="Palatino Linotype" w:hAnsi="Palatino Linotype"/>
          <w:sz w:val="28"/>
          <w:szCs w:val="28"/>
        </w:rPr>
        <w:t>институциональной базы и укреплению финансового сектора.</w:t>
      </w:r>
    </w:p>
    <w:p w14:paraId="030CA03E" w14:textId="77777777" w:rsidR="00D87F9B" w:rsidRPr="002F720A" w:rsidRDefault="004C4105" w:rsidP="006942E8">
      <w:pPr>
        <w:pStyle w:val="a3"/>
        <w:ind w:firstLine="708"/>
        <w:jc w:val="both"/>
        <w:rPr>
          <w:rFonts w:ascii="Palatino Linotype" w:hAnsi="Palatino Linotype"/>
          <w:sz w:val="28"/>
          <w:szCs w:val="28"/>
          <w:lang w:val="tt-RU"/>
        </w:rPr>
      </w:pPr>
      <w:r w:rsidRPr="002F720A">
        <w:rPr>
          <w:rFonts w:ascii="Palatino Linotype" w:hAnsi="Palatino Linotype"/>
          <w:sz w:val="28"/>
          <w:szCs w:val="28"/>
          <w:lang w:val="tt-RU"/>
        </w:rPr>
        <w:t>В 2025 году в Республике Таджикистан состоялись два заседания рабочих групп Алянса финансов</w:t>
      </w:r>
      <w:r w:rsidR="00413140" w:rsidRPr="002F720A">
        <w:rPr>
          <w:rFonts w:ascii="Palatino Linotype" w:hAnsi="Palatino Linotype"/>
          <w:sz w:val="28"/>
          <w:szCs w:val="28"/>
          <w:lang w:val="tt-RU"/>
        </w:rPr>
        <w:t>ой</w:t>
      </w:r>
      <w:r w:rsidRPr="002F720A">
        <w:rPr>
          <w:rFonts w:ascii="Palatino Linotype" w:hAnsi="Palatino Linotype"/>
          <w:sz w:val="28"/>
          <w:szCs w:val="28"/>
          <w:lang w:val="tt-RU"/>
        </w:rPr>
        <w:t xml:space="preserve"> инклюзивност</w:t>
      </w:r>
      <w:r w:rsidR="00413140" w:rsidRPr="002F720A">
        <w:rPr>
          <w:rFonts w:ascii="Palatino Linotype" w:hAnsi="Palatino Linotype"/>
          <w:sz w:val="28"/>
          <w:szCs w:val="28"/>
          <w:lang w:val="tt-RU"/>
        </w:rPr>
        <w:t>и</w:t>
      </w:r>
      <w:r w:rsidRPr="002F720A">
        <w:rPr>
          <w:rFonts w:ascii="Palatino Linotype" w:hAnsi="Palatino Linotype"/>
          <w:sz w:val="28"/>
          <w:szCs w:val="28"/>
          <w:lang w:val="tt-RU"/>
        </w:rPr>
        <w:t xml:space="preserve"> </w:t>
      </w:r>
      <w:r w:rsidR="009D63E5" w:rsidRPr="002F720A">
        <w:rPr>
          <w:rFonts w:ascii="Palatino Linotype" w:hAnsi="Palatino Linotype"/>
          <w:sz w:val="28"/>
          <w:szCs w:val="28"/>
          <w:lang w:val="tt-RU"/>
        </w:rPr>
        <w:t>–</w:t>
      </w:r>
      <w:r w:rsidRPr="002F720A">
        <w:rPr>
          <w:rFonts w:ascii="Palatino Linotype" w:hAnsi="Palatino Linotype"/>
          <w:sz w:val="28"/>
          <w:szCs w:val="28"/>
          <w:lang w:val="tt-RU"/>
        </w:rPr>
        <w:t xml:space="preserve"> </w:t>
      </w:r>
      <w:r w:rsidR="009D63E5" w:rsidRPr="002F720A">
        <w:rPr>
          <w:rFonts w:ascii="Palatino Linotype" w:hAnsi="Palatino Linotype"/>
          <w:sz w:val="28"/>
          <w:szCs w:val="28"/>
          <w:lang w:val="tt-RU"/>
        </w:rPr>
        <w:t xml:space="preserve">рабочая группа </w:t>
      </w:r>
      <w:r w:rsidRPr="002F720A">
        <w:rPr>
          <w:rFonts w:ascii="Palatino Linotype" w:hAnsi="Palatino Linotype"/>
          <w:sz w:val="28"/>
          <w:szCs w:val="28"/>
          <w:lang w:val="tt-RU"/>
        </w:rPr>
        <w:t>“</w:t>
      </w:r>
      <w:r w:rsidR="00413140" w:rsidRPr="002F720A">
        <w:rPr>
          <w:rFonts w:ascii="Palatino Linotype" w:hAnsi="Palatino Linotype"/>
          <w:sz w:val="28"/>
          <w:szCs w:val="28"/>
          <w:lang w:val="tt-RU"/>
        </w:rPr>
        <w:t>Цифровые финансовые услуги</w:t>
      </w:r>
      <w:r w:rsidRPr="002F720A">
        <w:rPr>
          <w:rFonts w:ascii="Palatino Linotype" w:hAnsi="Palatino Linotype"/>
          <w:sz w:val="28"/>
          <w:szCs w:val="28"/>
          <w:lang w:val="tt-RU"/>
        </w:rPr>
        <w:t xml:space="preserve">” (Digital Financial Services Working Group) </w:t>
      </w:r>
      <w:r w:rsidR="00413140" w:rsidRPr="002F720A">
        <w:rPr>
          <w:rFonts w:ascii="Palatino Linotype" w:hAnsi="Palatino Linotype"/>
          <w:sz w:val="28"/>
          <w:szCs w:val="28"/>
          <w:lang w:val="tt-RU"/>
        </w:rPr>
        <w:t>и</w:t>
      </w:r>
      <w:r w:rsidRPr="002F720A">
        <w:rPr>
          <w:rFonts w:ascii="Palatino Linotype" w:hAnsi="Palatino Linotype"/>
          <w:sz w:val="28"/>
          <w:szCs w:val="28"/>
          <w:lang w:val="tt-RU"/>
        </w:rPr>
        <w:t xml:space="preserve"> </w:t>
      </w:r>
      <w:r w:rsidR="009D63E5" w:rsidRPr="002F720A">
        <w:rPr>
          <w:rFonts w:ascii="Palatino Linotype" w:hAnsi="Palatino Linotype"/>
          <w:sz w:val="28"/>
          <w:szCs w:val="28"/>
          <w:lang w:val="tt-RU"/>
        </w:rPr>
        <w:t xml:space="preserve">рабочая группа </w:t>
      </w:r>
      <w:r w:rsidRPr="002F720A">
        <w:rPr>
          <w:rFonts w:ascii="Palatino Linotype" w:hAnsi="Palatino Linotype"/>
          <w:sz w:val="28"/>
          <w:szCs w:val="28"/>
          <w:lang w:val="tt-RU"/>
        </w:rPr>
        <w:t>“</w:t>
      </w:r>
      <w:r w:rsidR="001A256C" w:rsidRPr="002F720A">
        <w:rPr>
          <w:rFonts w:ascii="Palatino Linotype" w:hAnsi="Palatino Linotype"/>
          <w:sz w:val="28"/>
          <w:szCs w:val="28"/>
          <w:lang w:val="tt-RU"/>
        </w:rPr>
        <w:t>В</w:t>
      </w:r>
      <w:r w:rsidR="009D63E5" w:rsidRPr="002F720A">
        <w:rPr>
          <w:rFonts w:ascii="Palatino Linotype" w:hAnsi="Palatino Linotype"/>
          <w:sz w:val="28"/>
          <w:szCs w:val="28"/>
          <w:lang w:val="tt-RU"/>
        </w:rPr>
        <w:t>заимно</w:t>
      </w:r>
      <w:r w:rsidR="001A256C" w:rsidRPr="002F720A">
        <w:rPr>
          <w:rFonts w:ascii="Palatino Linotype" w:hAnsi="Palatino Linotype"/>
          <w:sz w:val="28"/>
          <w:szCs w:val="28"/>
          <w:lang w:val="tt-RU"/>
        </w:rPr>
        <w:t>е</w:t>
      </w:r>
      <w:r w:rsidR="009D63E5" w:rsidRPr="002F720A">
        <w:rPr>
          <w:rFonts w:ascii="Palatino Linotype" w:hAnsi="Palatino Linotype"/>
          <w:sz w:val="28"/>
          <w:szCs w:val="28"/>
          <w:lang w:val="tt-RU"/>
        </w:rPr>
        <w:t xml:space="preserve"> обучени</w:t>
      </w:r>
      <w:r w:rsidR="001A256C" w:rsidRPr="002F720A">
        <w:rPr>
          <w:rFonts w:ascii="Palatino Linotype" w:hAnsi="Palatino Linotype"/>
          <w:sz w:val="28"/>
          <w:szCs w:val="28"/>
          <w:lang w:val="tt-RU"/>
        </w:rPr>
        <w:t>е</w:t>
      </w:r>
      <w:r w:rsidR="009D63E5" w:rsidRPr="002F720A">
        <w:rPr>
          <w:rFonts w:ascii="Palatino Linotype" w:hAnsi="Palatino Linotype"/>
          <w:sz w:val="28"/>
          <w:szCs w:val="28"/>
          <w:lang w:val="tt-RU"/>
        </w:rPr>
        <w:t xml:space="preserve"> стратегии финансовой инклюзивности”</w:t>
      </w:r>
      <w:r w:rsidRPr="002F720A">
        <w:rPr>
          <w:rFonts w:ascii="Palatino Linotype" w:hAnsi="Palatino Linotype"/>
          <w:sz w:val="28"/>
          <w:szCs w:val="28"/>
          <w:lang w:val="tt-RU"/>
        </w:rPr>
        <w:t xml:space="preserve"> (Financial Inclusion Strategy Peer Learning Group) </w:t>
      </w:r>
      <w:r w:rsidR="009D63E5" w:rsidRPr="002F720A">
        <w:rPr>
          <w:rFonts w:ascii="Palatino Linotype" w:hAnsi="Palatino Linotype"/>
          <w:sz w:val="28"/>
          <w:szCs w:val="28"/>
          <w:lang w:val="tt-RU"/>
        </w:rPr>
        <w:t xml:space="preserve">с участием представителей центральных банков и </w:t>
      </w:r>
      <w:r w:rsidR="00D87F9B" w:rsidRPr="002F720A">
        <w:rPr>
          <w:rFonts w:ascii="Palatino Linotype" w:hAnsi="Palatino Linotype"/>
          <w:sz w:val="28"/>
          <w:szCs w:val="28"/>
          <w:lang w:val="tt-RU"/>
        </w:rPr>
        <w:t xml:space="preserve">руководящих </w:t>
      </w:r>
      <w:r w:rsidR="009D63E5" w:rsidRPr="002F720A">
        <w:rPr>
          <w:rFonts w:ascii="Palatino Linotype" w:hAnsi="Palatino Linotype"/>
          <w:sz w:val="28"/>
          <w:szCs w:val="28"/>
          <w:lang w:val="tt-RU"/>
        </w:rPr>
        <w:t xml:space="preserve">органов </w:t>
      </w:r>
      <w:r w:rsidR="00D87F9B" w:rsidRPr="002F720A">
        <w:rPr>
          <w:rFonts w:ascii="Palatino Linotype" w:hAnsi="Palatino Linotype"/>
          <w:sz w:val="28"/>
          <w:szCs w:val="28"/>
          <w:lang w:val="tt-RU"/>
        </w:rPr>
        <w:t xml:space="preserve"> финансовой сферы стран-членов</w:t>
      </w:r>
      <w:r w:rsidRPr="002F720A">
        <w:rPr>
          <w:rFonts w:ascii="Palatino Linotype" w:hAnsi="Palatino Linotype"/>
          <w:sz w:val="28"/>
          <w:szCs w:val="28"/>
          <w:lang w:val="tt-RU"/>
        </w:rPr>
        <w:t xml:space="preserve"> AFI </w:t>
      </w:r>
      <w:r w:rsidR="00D87F9B" w:rsidRPr="002F720A">
        <w:rPr>
          <w:rFonts w:ascii="Palatino Linotype" w:hAnsi="Palatino Linotype"/>
          <w:sz w:val="28"/>
          <w:szCs w:val="28"/>
          <w:lang w:val="tt-RU"/>
        </w:rPr>
        <w:t xml:space="preserve">и частных компаний. Цель проведения данных заседаний </w:t>
      </w:r>
      <w:r w:rsidR="001A256C" w:rsidRPr="002F720A">
        <w:rPr>
          <w:rFonts w:ascii="Palatino Linotype" w:hAnsi="Palatino Linotype"/>
          <w:sz w:val="28"/>
          <w:szCs w:val="28"/>
          <w:lang w:val="tt-RU"/>
        </w:rPr>
        <w:t>заключалась в</w:t>
      </w:r>
      <w:r w:rsidR="00D87F9B" w:rsidRPr="002F720A">
        <w:rPr>
          <w:rFonts w:ascii="Palatino Linotype" w:hAnsi="Palatino Linotype"/>
          <w:sz w:val="28"/>
          <w:szCs w:val="28"/>
          <w:lang w:val="tt-RU"/>
        </w:rPr>
        <w:t xml:space="preserve"> </w:t>
      </w:r>
      <w:r w:rsidR="00AD700F" w:rsidRPr="002F720A">
        <w:rPr>
          <w:rFonts w:ascii="Palatino Linotype" w:hAnsi="Palatino Linotype"/>
          <w:sz w:val="28"/>
          <w:szCs w:val="28"/>
          <w:lang w:val="tt-RU"/>
        </w:rPr>
        <w:t>представлени</w:t>
      </w:r>
      <w:r w:rsidR="001A256C" w:rsidRPr="002F720A">
        <w:rPr>
          <w:rFonts w:ascii="Palatino Linotype" w:hAnsi="Palatino Linotype"/>
          <w:sz w:val="28"/>
          <w:szCs w:val="28"/>
          <w:lang w:val="tt-RU"/>
        </w:rPr>
        <w:t>и</w:t>
      </w:r>
      <w:r w:rsidR="00AD700F" w:rsidRPr="002F720A">
        <w:rPr>
          <w:rFonts w:ascii="Palatino Linotype" w:hAnsi="Palatino Linotype"/>
          <w:sz w:val="28"/>
          <w:szCs w:val="28"/>
          <w:lang w:val="tt-RU"/>
        </w:rPr>
        <w:t xml:space="preserve"> </w:t>
      </w:r>
      <w:r w:rsidR="006942E8" w:rsidRPr="002F720A">
        <w:rPr>
          <w:rFonts w:ascii="Palatino Linotype" w:hAnsi="Palatino Linotype"/>
          <w:sz w:val="28"/>
          <w:szCs w:val="28"/>
          <w:lang w:val="tt-RU"/>
        </w:rPr>
        <w:t xml:space="preserve">достижений Республики Таджикистан в области финансовой доступности </w:t>
      </w:r>
      <w:r w:rsidR="00AD700F" w:rsidRPr="002F720A">
        <w:rPr>
          <w:rFonts w:ascii="Palatino Linotype" w:hAnsi="Palatino Linotype"/>
          <w:sz w:val="28"/>
          <w:szCs w:val="28"/>
          <w:lang w:val="tt-RU"/>
        </w:rPr>
        <w:t xml:space="preserve">членам данной организации и изучение опыть других стран в этом направлении. </w:t>
      </w:r>
      <w:r w:rsidR="0080576F" w:rsidRPr="002F720A">
        <w:rPr>
          <w:rFonts w:ascii="Palatino Linotype" w:hAnsi="Palatino Linotype"/>
          <w:sz w:val="28"/>
          <w:szCs w:val="28"/>
          <w:lang w:val="tt-RU"/>
        </w:rPr>
        <w:t xml:space="preserve">В указанных мероприятиях приняли участие представители министерств и ведомств страны, в том числе Министерства иностранных дел, Министерства финансов, Министерства </w:t>
      </w:r>
      <w:r w:rsidR="0085677A" w:rsidRPr="002F720A">
        <w:rPr>
          <w:rFonts w:ascii="Palatino Linotype" w:hAnsi="Palatino Linotype"/>
          <w:sz w:val="28"/>
          <w:szCs w:val="28"/>
          <w:lang w:val="tt-RU"/>
        </w:rPr>
        <w:t xml:space="preserve">экономического развития и торговли </w:t>
      </w:r>
      <w:r w:rsidR="0080576F" w:rsidRPr="002F720A">
        <w:rPr>
          <w:rFonts w:ascii="Palatino Linotype" w:hAnsi="Palatino Linotype"/>
          <w:sz w:val="28"/>
          <w:szCs w:val="28"/>
          <w:lang w:val="tt-RU"/>
        </w:rPr>
        <w:t xml:space="preserve"> </w:t>
      </w:r>
      <w:r w:rsidR="0085677A" w:rsidRPr="002F720A">
        <w:rPr>
          <w:rFonts w:ascii="Palatino Linotype" w:hAnsi="Palatino Linotype"/>
          <w:sz w:val="28"/>
          <w:szCs w:val="28"/>
          <w:lang w:val="tt-RU"/>
        </w:rPr>
        <w:t>Налогов</w:t>
      </w:r>
      <w:r w:rsidR="006942E8" w:rsidRPr="002F720A">
        <w:rPr>
          <w:rFonts w:ascii="Palatino Linotype" w:hAnsi="Palatino Linotype"/>
          <w:sz w:val="28"/>
          <w:szCs w:val="28"/>
          <w:lang w:val="tt-RU"/>
        </w:rPr>
        <w:t>ого</w:t>
      </w:r>
      <w:r w:rsidR="0085677A" w:rsidRPr="002F720A">
        <w:rPr>
          <w:rFonts w:ascii="Palatino Linotype" w:hAnsi="Palatino Linotype"/>
          <w:sz w:val="28"/>
          <w:szCs w:val="28"/>
          <w:lang w:val="tt-RU"/>
        </w:rPr>
        <w:t xml:space="preserve"> комитет</w:t>
      </w:r>
      <w:r w:rsidR="006942E8" w:rsidRPr="002F720A">
        <w:rPr>
          <w:rFonts w:ascii="Palatino Linotype" w:hAnsi="Palatino Linotype"/>
          <w:sz w:val="28"/>
          <w:szCs w:val="28"/>
          <w:lang w:val="tt-RU"/>
        </w:rPr>
        <w:t>а</w:t>
      </w:r>
      <w:r w:rsidR="0085677A" w:rsidRPr="002F720A">
        <w:rPr>
          <w:rFonts w:ascii="Palatino Linotype" w:hAnsi="Palatino Linotype"/>
          <w:sz w:val="28"/>
          <w:szCs w:val="28"/>
          <w:lang w:val="tt-RU"/>
        </w:rPr>
        <w:t xml:space="preserve"> при Правительстве </w:t>
      </w:r>
      <w:r w:rsidR="006942E8" w:rsidRPr="002F720A">
        <w:rPr>
          <w:rFonts w:ascii="Palatino Linotype" w:hAnsi="Palatino Linotype"/>
          <w:sz w:val="28"/>
          <w:szCs w:val="28"/>
          <w:lang w:val="tt-RU"/>
        </w:rPr>
        <w:t>РТ и Агент</w:t>
      </w:r>
      <w:r w:rsidR="0085677A" w:rsidRPr="002F720A">
        <w:rPr>
          <w:rFonts w:ascii="Palatino Linotype" w:hAnsi="Palatino Linotype"/>
          <w:sz w:val="28"/>
          <w:szCs w:val="28"/>
          <w:lang w:val="tt-RU"/>
        </w:rPr>
        <w:t>ства инновации и цифровых технологий при Президенте РТ, что свидетел</w:t>
      </w:r>
      <w:r w:rsidR="006942E8" w:rsidRPr="002F720A">
        <w:rPr>
          <w:rFonts w:ascii="Palatino Linotype" w:hAnsi="Palatino Linotype"/>
          <w:sz w:val="28"/>
          <w:szCs w:val="28"/>
          <w:lang w:val="tt-RU"/>
        </w:rPr>
        <w:t>ь</w:t>
      </w:r>
      <w:r w:rsidR="0085677A" w:rsidRPr="002F720A">
        <w:rPr>
          <w:rFonts w:ascii="Palatino Linotype" w:hAnsi="Palatino Linotype"/>
          <w:sz w:val="28"/>
          <w:szCs w:val="28"/>
          <w:lang w:val="tt-RU"/>
        </w:rPr>
        <w:t xml:space="preserve">ствует о </w:t>
      </w:r>
      <w:r w:rsidR="00D46EFF" w:rsidRPr="002F720A">
        <w:rPr>
          <w:rFonts w:ascii="Palatino Linotype" w:hAnsi="Palatino Linotype"/>
          <w:sz w:val="28"/>
          <w:szCs w:val="28"/>
          <w:lang w:val="tt-RU"/>
        </w:rPr>
        <w:t>заинтересованности нашей страны в развитии финансовой инклюзивности и цифровых технологий.</w:t>
      </w:r>
      <w:r w:rsidR="0085677A" w:rsidRPr="002F720A">
        <w:rPr>
          <w:rFonts w:ascii="Palatino Linotype" w:hAnsi="Palatino Linotype"/>
          <w:sz w:val="28"/>
          <w:szCs w:val="28"/>
          <w:lang w:val="tt-RU"/>
        </w:rPr>
        <w:t xml:space="preserve">  </w:t>
      </w:r>
      <w:r w:rsidR="0080576F" w:rsidRPr="002F720A">
        <w:rPr>
          <w:rFonts w:ascii="Palatino Linotype" w:hAnsi="Palatino Linotype"/>
          <w:sz w:val="28"/>
          <w:szCs w:val="28"/>
          <w:lang w:val="tt-RU"/>
        </w:rPr>
        <w:t xml:space="preserve"> </w:t>
      </w:r>
    </w:p>
    <w:p w14:paraId="166C1383" w14:textId="51E894FA" w:rsidR="008458D6" w:rsidRPr="002F720A" w:rsidRDefault="002F720A" w:rsidP="008458D6">
      <w:pPr>
        <w:ind w:firstLine="360"/>
        <w:jc w:val="both"/>
        <w:rPr>
          <w:rStyle w:val="jlqj4b"/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8458D6" w:rsidRPr="002F720A">
        <w:rPr>
          <w:rFonts w:ascii="Palatino Linotype" w:hAnsi="Palatino Linotype"/>
          <w:sz w:val="28"/>
          <w:szCs w:val="28"/>
        </w:rPr>
        <w:t xml:space="preserve">За отчетный </w:t>
      </w:r>
      <w:r w:rsidR="002103AF" w:rsidRPr="002F720A">
        <w:rPr>
          <w:rFonts w:ascii="Palatino Linotype" w:hAnsi="Palatino Linotype"/>
          <w:sz w:val="28"/>
          <w:szCs w:val="28"/>
        </w:rPr>
        <w:t>г</w:t>
      </w:r>
      <w:r w:rsidR="008458D6" w:rsidRPr="002F720A">
        <w:rPr>
          <w:rFonts w:ascii="Palatino Linotype" w:hAnsi="Palatino Linotype"/>
          <w:sz w:val="28"/>
          <w:szCs w:val="28"/>
        </w:rPr>
        <w:t xml:space="preserve">од </w:t>
      </w:r>
      <w:r w:rsidR="006942E8" w:rsidRPr="002F720A">
        <w:rPr>
          <w:rStyle w:val="jlqj4b"/>
          <w:rFonts w:ascii="Palatino Linotype" w:hAnsi="Palatino Linotype"/>
          <w:sz w:val="28"/>
          <w:szCs w:val="28"/>
        </w:rPr>
        <w:t>м</w:t>
      </w:r>
      <w:r w:rsidR="008458D6" w:rsidRPr="002F720A">
        <w:rPr>
          <w:rStyle w:val="jlqj4b"/>
          <w:rFonts w:ascii="Palatino Linotype" w:hAnsi="Palatino Linotype"/>
          <w:sz w:val="28"/>
          <w:szCs w:val="28"/>
        </w:rPr>
        <w:t xml:space="preserve">еждународное рейтинговое агентство </w:t>
      </w:r>
      <w:r w:rsidR="008458D6" w:rsidRPr="002F720A">
        <w:rPr>
          <w:rFonts w:ascii="Palatino Linotype" w:hAnsi="Palatino Linotype"/>
          <w:sz w:val="28"/>
          <w:szCs w:val="28"/>
          <w:lang w:val="tt-RU"/>
        </w:rPr>
        <w:t xml:space="preserve">“Standart&amp;Poor’s” </w:t>
      </w:r>
      <w:r w:rsidR="00A44A34" w:rsidRPr="002F720A">
        <w:rPr>
          <w:rFonts w:ascii="Palatino Linotype" w:hAnsi="Palatino Linotype"/>
          <w:sz w:val="28"/>
          <w:szCs w:val="28"/>
          <w:lang w:val="tt-RU"/>
        </w:rPr>
        <w:t xml:space="preserve">дважды (в феврале и августе) </w:t>
      </w:r>
      <w:r w:rsidR="008458D6" w:rsidRPr="002F720A">
        <w:rPr>
          <w:rFonts w:ascii="Palatino Linotype" w:hAnsi="Palatino Linotype"/>
          <w:sz w:val="28"/>
          <w:szCs w:val="28"/>
          <w:lang w:val="tt-RU"/>
        </w:rPr>
        <w:t xml:space="preserve">подтвердило </w:t>
      </w:r>
      <w:r w:rsidR="00F6641C" w:rsidRPr="002F720A">
        <w:rPr>
          <w:rFonts w:ascii="Palatino Linotype" w:hAnsi="Palatino Linotype"/>
          <w:sz w:val="28"/>
          <w:szCs w:val="28"/>
          <w:lang w:val="tt-RU"/>
        </w:rPr>
        <w:t xml:space="preserve">долгосрочный и краткосрочный </w:t>
      </w:r>
      <w:r w:rsidR="008458D6" w:rsidRPr="002F720A">
        <w:rPr>
          <w:rFonts w:ascii="Palatino Linotype" w:hAnsi="Palatino Linotype"/>
          <w:sz w:val="28"/>
          <w:szCs w:val="28"/>
        </w:rPr>
        <w:t xml:space="preserve">суверенный кредитный рейтинг Республики Таджикистан на уровне </w:t>
      </w:r>
      <w:r w:rsidR="008458D6" w:rsidRPr="002F720A">
        <w:rPr>
          <w:rFonts w:ascii="Palatino Linotype" w:hAnsi="Palatino Linotype"/>
          <w:sz w:val="28"/>
          <w:szCs w:val="28"/>
          <w:lang w:val="tg-Cyrl-TJ"/>
        </w:rPr>
        <w:t>“</w:t>
      </w:r>
      <w:r w:rsidR="008458D6" w:rsidRPr="002F720A">
        <w:rPr>
          <w:rFonts w:ascii="Palatino Linotype" w:hAnsi="Palatino Linotype"/>
          <w:sz w:val="28"/>
          <w:szCs w:val="28"/>
          <w:lang w:val="tt-RU"/>
        </w:rPr>
        <w:t>B</w:t>
      </w:r>
      <w:r w:rsidR="00A936CB" w:rsidRPr="002F720A">
        <w:rPr>
          <w:rFonts w:ascii="Palatino Linotype" w:hAnsi="Palatino Linotype"/>
          <w:sz w:val="28"/>
          <w:szCs w:val="28"/>
          <w:lang w:val="tt-RU"/>
        </w:rPr>
        <w:t>”</w:t>
      </w:r>
      <w:r w:rsidR="008458D6" w:rsidRPr="002F720A">
        <w:rPr>
          <w:rStyle w:val="jlqj4b"/>
          <w:rFonts w:ascii="Palatino Linotype" w:hAnsi="Palatino Linotype"/>
          <w:sz w:val="28"/>
          <w:szCs w:val="28"/>
          <w:lang w:val="tt-RU"/>
        </w:rPr>
        <w:t xml:space="preserve">, </w:t>
      </w:r>
      <w:r w:rsidR="008458D6" w:rsidRPr="002F720A">
        <w:rPr>
          <w:rStyle w:val="jlqj4b"/>
          <w:rFonts w:ascii="Palatino Linotype" w:hAnsi="Palatino Linotype"/>
          <w:sz w:val="28"/>
          <w:szCs w:val="28"/>
        </w:rPr>
        <w:t>прогноз «стабильный».</w:t>
      </w:r>
    </w:p>
    <w:p w14:paraId="4B3549C8" w14:textId="62A8140F" w:rsidR="00A44A34" w:rsidRPr="002F720A" w:rsidRDefault="002F720A" w:rsidP="008458D6">
      <w:pPr>
        <w:ind w:firstLine="360"/>
        <w:jc w:val="both"/>
        <w:rPr>
          <w:rStyle w:val="jlqj4b"/>
          <w:rFonts w:ascii="Palatino Linotype" w:hAnsi="Palatino Linotype"/>
          <w:sz w:val="28"/>
          <w:szCs w:val="28"/>
        </w:rPr>
      </w:pPr>
      <w:r>
        <w:rPr>
          <w:rStyle w:val="jlqj4b"/>
          <w:rFonts w:ascii="Palatino Linotype" w:hAnsi="Palatino Linotype"/>
          <w:sz w:val="28"/>
          <w:szCs w:val="28"/>
        </w:rPr>
        <w:tab/>
      </w:r>
      <w:r w:rsidR="00A44A34" w:rsidRPr="002F720A">
        <w:rPr>
          <w:rStyle w:val="jlqj4b"/>
          <w:rFonts w:ascii="Palatino Linotype" w:hAnsi="Palatino Linotype"/>
          <w:sz w:val="28"/>
          <w:szCs w:val="28"/>
        </w:rPr>
        <w:t>Также за отчетный год (в апреле и октябре)</w:t>
      </w:r>
      <w:r w:rsidR="00E03497" w:rsidRPr="002F720A">
        <w:rPr>
          <w:rStyle w:val="jlqj4b"/>
          <w:rFonts w:ascii="Palatino Linotype" w:hAnsi="Palatino Linotype"/>
          <w:sz w:val="28"/>
          <w:szCs w:val="28"/>
        </w:rPr>
        <w:t xml:space="preserve"> </w:t>
      </w:r>
      <w:r w:rsidR="00E03497" w:rsidRPr="002F720A">
        <w:rPr>
          <w:rFonts w:ascii="Palatino Linotype" w:hAnsi="Palatino Linotype"/>
          <w:sz w:val="28"/>
          <w:szCs w:val="28"/>
        </w:rPr>
        <w:t xml:space="preserve">международное рейтинговое агентство «Moody's» подтвердило долгосрочный суверенный кредитный рейтинг Республики Таджикистан на уровне «B3», </w:t>
      </w:r>
      <w:r w:rsidR="00E03497" w:rsidRPr="002F720A">
        <w:rPr>
          <w:rStyle w:val="jlqj4b"/>
          <w:rFonts w:ascii="Palatino Linotype" w:hAnsi="Palatino Linotype"/>
          <w:sz w:val="28"/>
          <w:szCs w:val="28"/>
        </w:rPr>
        <w:t>прогноз «положительный».</w:t>
      </w:r>
    </w:p>
    <w:p w14:paraId="565C492F" w14:textId="65166A19" w:rsidR="00DE0C22" w:rsidRPr="002F720A" w:rsidRDefault="002F720A" w:rsidP="00DE0C22">
      <w:pPr>
        <w:ind w:firstLine="360"/>
        <w:jc w:val="both"/>
        <w:rPr>
          <w:rStyle w:val="jlqj4b"/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 w:rsidR="00DE0C22" w:rsidRPr="002F720A">
        <w:rPr>
          <w:rFonts w:ascii="Palatino Linotype" w:hAnsi="Palatino Linotype"/>
          <w:sz w:val="28"/>
          <w:szCs w:val="28"/>
        </w:rPr>
        <w:t>Данные оценки показывают дальнейшее улучшение экономической ситуации страны и свидетельствуют об устойчивости экономики страны и ее стабильном финансовом положении.</w:t>
      </w:r>
    </w:p>
    <w:p w14:paraId="2D706D83" w14:textId="27F13B71" w:rsidR="008458D6" w:rsidRPr="002F720A" w:rsidRDefault="002F720A" w:rsidP="008458D6">
      <w:pPr>
        <w:ind w:firstLine="36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ab/>
      </w:r>
      <w:r w:rsidR="008458D6" w:rsidRPr="002F720A">
        <w:rPr>
          <w:rFonts w:ascii="Palatino Linotype" w:hAnsi="Palatino Linotype"/>
          <w:sz w:val="28"/>
          <w:szCs w:val="28"/>
        </w:rPr>
        <w:t xml:space="preserve">Национальный банк Таджикистана и впредь будет предпринимать </w:t>
      </w:r>
      <w:r w:rsidR="00DE0C22" w:rsidRPr="002F720A">
        <w:rPr>
          <w:rFonts w:ascii="Palatino Linotype" w:hAnsi="Palatino Linotype"/>
          <w:sz w:val="28"/>
          <w:szCs w:val="28"/>
        </w:rPr>
        <w:t>необходимы</w:t>
      </w:r>
      <w:r w:rsidR="008458D6" w:rsidRPr="002F720A">
        <w:rPr>
          <w:rFonts w:ascii="Palatino Linotype" w:hAnsi="Palatino Linotype"/>
          <w:sz w:val="28"/>
          <w:szCs w:val="28"/>
        </w:rPr>
        <w:t xml:space="preserve">е меры, направленные на эффективную реализацию монетарной политики, усиление регулирования и надзора за деятельностью кредитных организаций, защиту прав и интересов пользователей банковских услуг, обеспечение прозрачности в деятельности кредитных </w:t>
      </w:r>
      <w:r w:rsidR="007F3AEF" w:rsidRPr="002F720A">
        <w:rPr>
          <w:rFonts w:ascii="Palatino Linotype" w:hAnsi="Palatino Linotype"/>
          <w:sz w:val="28"/>
          <w:szCs w:val="28"/>
        </w:rPr>
        <w:t xml:space="preserve">финансовых </w:t>
      </w:r>
      <w:r w:rsidR="008458D6" w:rsidRPr="002F720A">
        <w:rPr>
          <w:rFonts w:ascii="Palatino Linotype" w:hAnsi="Palatino Linotype"/>
          <w:sz w:val="28"/>
          <w:szCs w:val="28"/>
        </w:rPr>
        <w:t xml:space="preserve">организаций, </w:t>
      </w:r>
      <w:r w:rsidR="007F3AEF" w:rsidRPr="002F720A">
        <w:rPr>
          <w:rFonts w:ascii="Palatino Linotype" w:hAnsi="Palatino Linotype"/>
          <w:sz w:val="28"/>
          <w:szCs w:val="28"/>
        </w:rPr>
        <w:t>и таким образом на</w:t>
      </w:r>
      <w:r w:rsidR="008458D6" w:rsidRPr="002F720A">
        <w:rPr>
          <w:rFonts w:ascii="Palatino Linotype" w:hAnsi="Palatino Linotype"/>
          <w:sz w:val="28"/>
          <w:szCs w:val="28"/>
        </w:rPr>
        <w:t xml:space="preserve"> сохранение доверия населения к банковской системе.</w:t>
      </w:r>
    </w:p>
    <w:p w14:paraId="4D260179" w14:textId="77777777" w:rsidR="008458D6" w:rsidRPr="002F720A" w:rsidRDefault="008458D6" w:rsidP="008458D6">
      <w:pPr>
        <w:spacing w:before="100" w:beforeAutospacing="1" w:after="100" w:afterAutospacing="1"/>
        <w:ind w:firstLine="567"/>
        <w:jc w:val="both"/>
        <w:rPr>
          <w:rFonts w:ascii="Palatino Linotype" w:hAnsi="Palatino Linotype"/>
          <w:b/>
          <w:sz w:val="28"/>
          <w:szCs w:val="28"/>
        </w:rPr>
      </w:pPr>
      <w:r w:rsidRPr="002F720A">
        <w:rPr>
          <w:rFonts w:ascii="Palatino Linotype" w:hAnsi="Palatino Linotype"/>
          <w:b/>
          <w:sz w:val="28"/>
          <w:szCs w:val="28"/>
        </w:rPr>
        <w:t>Отдел прессы НБТ</w:t>
      </w:r>
    </w:p>
    <w:p w14:paraId="4613525A" w14:textId="77777777" w:rsidR="00654755" w:rsidRPr="002F720A" w:rsidRDefault="00654755" w:rsidP="008458D6">
      <w:pPr>
        <w:spacing w:before="100" w:beforeAutospacing="1" w:after="100" w:afterAutospacing="1"/>
        <w:ind w:firstLine="567"/>
        <w:jc w:val="both"/>
        <w:rPr>
          <w:rFonts w:ascii="Palatino Linotype" w:hAnsi="Palatino Linotype"/>
          <w:b/>
          <w:sz w:val="28"/>
          <w:szCs w:val="28"/>
        </w:rPr>
      </w:pPr>
    </w:p>
    <w:p w14:paraId="6E4B26E7" w14:textId="77777777" w:rsidR="00654755" w:rsidRPr="002F720A" w:rsidRDefault="00654755" w:rsidP="00654755">
      <w:pPr>
        <w:ind w:firstLine="708"/>
        <w:jc w:val="both"/>
        <w:rPr>
          <w:rFonts w:ascii="Palatino Linotype" w:hAnsi="Palatino Linotype"/>
          <w:sz w:val="28"/>
          <w:szCs w:val="28"/>
        </w:rPr>
      </w:pPr>
      <w:r w:rsidRPr="002F720A">
        <w:rPr>
          <w:rFonts w:ascii="Palatino Linotype" w:hAnsi="Palatino Linotype"/>
          <w:sz w:val="28"/>
          <w:szCs w:val="28"/>
        </w:rPr>
        <w:t xml:space="preserve">  </w:t>
      </w:r>
    </w:p>
    <w:sectPr w:rsidR="00654755" w:rsidRPr="002F720A" w:rsidSect="009B2DA8">
      <w:pgSz w:w="11906" w:h="16838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D6"/>
    <w:rsid w:val="0003793E"/>
    <w:rsid w:val="00045142"/>
    <w:rsid w:val="00067C91"/>
    <w:rsid w:val="000B709F"/>
    <w:rsid w:val="00101D2F"/>
    <w:rsid w:val="00112F12"/>
    <w:rsid w:val="00115528"/>
    <w:rsid w:val="00122D81"/>
    <w:rsid w:val="001356A0"/>
    <w:rsid w:val="00160E45"/>
    <w:rsid w:val="001A0CE3"/>
    <w:rsid w:val="001A256C"/>
    <w:rsid w:val="001B772B"/>
    <w:rsid w:val="001C7349"/>
    <w:rsid w:val="001D4F36"/>
    <w:rsid w:val="001E2B33"/>
    <w:rsid w:val="001E30A0"/>
    <w:rsid w:val="002103AF"/>
    <w:rsid w:val="002436E1"/>
    <w:rsid w:val="0025193C"/>
    <w:rsid w:val="002C1CFA"/>
    <w:rsid w:val="002D5065"/>
    <w:rsid w:val="002D7845"/>
    <w:rsid w:val="002E723C"/>
    <w:rsid w:val="002F720A"/>
    <w:rsid w:val="00331F1F"/>
    <w:rsid w:val="003674AB"/>
    <w:rsid w:val="003900B1"/>
    <w:rsid w:val="0039112D"/>
    <w:rsid w:val="003D33A6"/>
    <w:rsid w:val="00413140"/>
    <w:rsid w:val="00413DE0"/>
    <w:rsid w:val="00445E34"/>
    <w:rsid w:val="00463AA0"/>
    <w:rsid w:val="004C4105"/>
    <w:rsid w:val="0050093F"/>
    <w:rsid w:val="00513B6A"/>
    <w:rsid w:val="00516C41"/>
    <w:rsid w:val="00542A4F"/>
    <w:rsid w:val="00572635"/>
    <w:rsid w:val="00576565"/>
    <w:rsid w:val="00584122"/>
    <w:rsid w:val="005861D6"/>
    <w:rsid w:val="0060695D"/>
    <w:rsid w:val="0060794C"/>
    <w:rsid w:val="00612336"/>
    <w:rsid w:val="00621485"/>
    <w:rsid w:val="00643DE3"/>
    <w:rsid w:val="006527AD"/>
    <w:rsid w:val="00654755"/>
    <w:rsid w:val="006942E8"/>
    <w:rsid w:val="00750A0C"/>
    <w:rsid w:val="007611F0"/>
    <w:rsid w:val="007A1002"/>
    <w:rsid w:val="007A4DC5"/>
    <w:rsid w:val="007A57AA"/>
    <w:rsid w:val="007B5638"/>
    <w:rsid w:val="007C0A08"/>
    <w:rsid w:val="007C48A1"/>
    <w:rsid w:val="007E38D3"/>
    <w:rsid w:val="007F1803"/>
    <w:rsid w:val="007F3AEF"/>
    <w:rsid w:val="0080576F"/>
    <w:rsid w:val="008074C4"/>
    <w:rsid w:val="00820E10"/>
    <w:rsid w:val="008458D6"/>
    <w:rsid w:val="00850CB6"/>
    <w:rsid w:val="0085677A"/>
    <w:rsid w:val="00862102"/>
    <w:rsid w:val="00877D3F"/>
    <w:rsid w:val="008A63D3"/>
    <w:rsid w:val="008F16B8"/>
    <w:rsid w:val="00912849"/>
    <w:rsid w:val="009136AE"/>
    <w:rsid w:val="00915210"/>
    <w:rsid w:val="00941647"/>
    <w:rsid w:val="00947C0D"/>
    <w:rsid w:val="00967534"/>
    <w:rsid w:val="0097391E"/>
    <w:rsid w:val="009A12C3"/>
    <w:rsid w:val="009A7808"/>
    <w:rsid w:val="009B2DA8"/>
    <w:rsid w:val="009B34E5"/>
    <w:rsid w:val="009B6FF2"/>
    <w:rsid w:val="009D63E5"/>
    <w:rsid w:val="00A44A34"/>
    <w:rsid w:val="00A512CE"/>
    <w:rsid w:val="00A617AF"/>
    <w:rsid w:val="00A90300"/>
    <w:rsid w:val="00A936CB"/>
    <w:rsid w:val="00AB6B0D"/>
    <w:rsid w:val="00AD700F"/>
    <w:rsid w:val="00AF0A49"/>
    <w:rsid w:val="00B1145B"/>
    <w:rsid w:val="00B11A5D"/>
    <w:rsid w:val="00B11CDC"/>
    <w:rsid w:val="00B168F8"/>
    <w:rsid w:val="00B238C5"/>
    <w:rsid w:val="00B40599"/>
    <w:rsid w:val="00B51313"/>
    <w:rsid w:val="00B75741"/>
    <w:rsid w:val="00B84D58"/>
    <w:rsid w:val="00B907A4"/>
    <w:rsid w:val="00BC459C"/>
    <w:rsid w:val="00C02B7A"/>
    <w:rsid w:val="00C04ED3"/>
    <w:rsid w:val="00C162E6"/>
    <w:rsid w:val="00C171CD"/>
    <w:rsid w:val="00C322E7"/>
    <w:rsid w:val="00C520F1"/>
    <w:rsid w:val="00C5773A"/>
    <w:rsid w:val="00C61CE6"/>
    <w:rsid w:val="00CA7856"/>
    <w:rsid w:val="00CC499E"/>
    <w:rsid w:val="00CE5069"/>
    <w:rsid w:val="00D3032B"/>
    <w:rsid w:val="00D46EFF"/>
    <w:rsid w:val="00D74E62"/>
    <w:rsid w:val="00D823AA"/>
    <w:rsid w:val="00D87F9B"/>
    <w:rsid w:val="00DA6F29"/>
    <w:rsid w:val="00DB5259"/>
    <w:rsid w:val="00DE0C22"/>
    <w:rsid w:val="00DE192F"/>
    <w:rsid w:val="00E02F0D"/>
    <w:rsid w:val="00E03497"/>
    <w:rsid w:val="00E0576E"/>
    <w:rsid w:val="00E06EC2"/>
    <w:rsid w:val="00E86741"/>
    <w:rsid w:val="00EA6CBD"/>
    <w:rsid w:val="00EC7A09"/>
    <w:rsid w:val="00F004DF"/>
    <w:rsid w:val="00F14879"/>
    <w:rsid w:val="00F6641C"/>
    <w:rsid w:val="00F71D00"/>
    <w:rsid w:val="00F81F3E"/>
    <w:rsid w:val="00FB27EF"/>
    <w:rsid w:val="00FC2B15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6638"/>
  <w15:chartTrackingRefBased/>
  <w15:docId w15:val="{B6D1B98C-316F-46A0-9581-9CAA31FA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8458D6"/>
  </w:style>
  <w:style w:type="paragraph" w:styleId="a3">
    <w:name w:val="No Spacing"/>
    <w:aliases w:val="Основной,No Spacing1,No Spacing"/>
    <w:link w:val="a4"/>
    <w:uiPriority w:val="1"/>
    <w:qFormat/>
    <w:rsid w:val="004C410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Без интервала Знак"/>
    <w:aliases w:val="Основной Знак,No Spacing1 Знак,No Spacing Знак"/>
    <w:link w:val="a3"/>
    <w:uiPriority w:val="1"/>
    <w:rsid w:val="004C4105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 Мирзомурод Боймахмадович</dc:creator>
  <cp:keywords/>
  <dc:description/>
  <cp:lastModifiedBy>user</cp:lastModifiedBy>
  <cp:revision>88</cp:revision>
  <dcterms:created xsi:type="dcterms:W3CDTF">2026-02-04T10:18:00Z</dcterms:created>
  <dcterms:modified xsi:type="dcterms:W3CDTF">2026-02-05T08:54:00Z</dcterms:modified>
</cp:coreProperties>
</file>